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电子半导体行情点评（6月23日）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A股三大股指震荡回落。</w:t>
      </w:r>
      <w:r>
        <w:rPr>
          <w:rFonts w:ascii="楷体" w:eastAsia="楷体" w:hAnsi="楷体" w:cs="楷体"/>
        </w:rPr>
        <w:t xml:space="preserve">沪指收盘下跌56.84点，跌幅：1.37%，报4106.25点；深指收盘下跌518.30点，跌幅：3.17%，报15854.20点；创业板指数收盘下跌167.20点，跌幅：3.84%，报4192.19点；国证芯片（980017）指数收盘下跌486.10点，跌幅：2.26%，报20987.70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半导体板块整体回调。</w:t>
      </w:r>
      <w:r>
        <w:rPr>
          <w:rFonts w:ascii="楷体" w:eastAsia="楷体" w:hAnsi="楷体" w:cs="楷体"/>
        </w:rPr>
        <w:t xml:space="preserve">盘面上科技产业链内部高低切换特征鲜明，资金从前期涨幅较高的硬件方向向上游材料环节转移。PCB、元件方向领跌，生益科技等近30股跌逾9%，诺德股份、光华科技跌停；存储芯片供需反转涨价周期延续，同有科技等逆势走强；台积电玻璃基板封装技术突破带动光刻胶、玻璃基板概念活跃，怡达股份20CM涨停，彩虹股份、五方光电封板；光纤赛道受算力网络建设需求拉动，长盈通涨超10%续创历史新高。消息面上，长川科技披露上半年归母净利润预增110%—134%，半导体设备龙头业绩兑现，叠加海外存储厂设备供应商酝酿3%—4%涨价，上游量价齐升逻辑获支撑；外围韩国芯片龙头遭获利了结、股指盘中触发熔断，对高位品种形成一定扰动。截至收盘，PCB板块大跌、消费电子板块走弱、半导体设计板块回调、半导体设备材料板块相对抗跌。当日国证芯片回落2.26%而设备材料逆势收平，资金在科技主线内部高低切换、由前期普涨转向沿景气与业绩分化筛选，反映本轮行情进入结构分歧阶段；设备材料的相对抗跌与存储、玻璃基板等上游方向的活跃，显示产能扩张与国产替代逻辑由下游向上游供给环节延伸；在中报预告密集兑现窗口，当日回调更多体现高位品种获利了结与外围扰动下的节奏调整，AI硬件景气主线向业绩验证切换的方向未变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整体回调，呈现科技产业链内部高低切换、资金沿景气与业绩主线分化筛选的特征，建议结合自身风险偏好审慎评估后续参与节奏；本轮调整受前期高位品种获利了结、PCB等方向短期涨幅较大及外围芯片股波动等因素影响，国产替代与AI硬件中长期景气逻辑未变，可保持关注产业催化向中报业绩的兑现节奏；半导体设备材料方向受全球扩产与上游量价齐升支撑、相对抗跌，存储与玻璃基板封装等上游材料受需求拉动，可留意板块内部结构性机会；消费电子受端侧AI需求支撑，中长期配置价值仍在；当前市场进入中报验证窗口、高位品种波动加大，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