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电子半导体行情点评（6月24日）</w:t>
      </w:r>
    </w:p>
    <w:p>
      <w:pPr>
        <w:ind w:firstLineChars="200" w:firstLine="422"/>
        <w:rPr>
          <w:rFonts w:ascii="楷体" w:eastAsia="楷体" w:hAnsi="楷体" w:cs="楷体"/>
        </w:rPr>
      </w:pPr>
      <w:r>
        <w:rPr>
          <w:rFonts w:ascii="楷体" w:eastAsia="楷体" w:hAnsi="楷体" w:cs="楷体"/>
          <w:b/>
          <w:bCs/>
        </w:rPr>
        <w:t xml:space="preserve">A股三大股指集体上涨。</w:t>
      </w:r>
      <w:r>
        <w:rPr>
          <w:rFonts w:ascii="楷体" w:eastAsia="楷体" w:hAnsi="楷体" w:cs="楷体"/>
        </w:rPr>
        <w:t xml:space="preserve">沪指收盘上涨4.56点，涨幅：0.11%，报4110.81点；深指收盘上涨197.12点，涨幅：1.24%，报16051.32点；创业板指数收盘上涨59.23点，涨幅：1.41%，报4251.42点；国证芯片（980017）指数收盘上涨1123.34点，涨幅：5.35%，报22111.04点。</w:t>
      </w:r>
    </w:p>
    <w:p>
      <w:pPr>
        <w:ind w:firstLineChars="200" w:firstLine="422"/>
        <w:rPr>
          <w:rFonts w:ascii="楷体" w:eastAsia="楷体" w:hAnsi="楷体" w:cs="楷体"/>
        </w:rPr>
      </w:pPr>
      <w:r>
        <w:rPr>
          <w:rFonts w:ascii="楷体" w:eastAsia="楷体" w:hAnsi="楷体" w:cs="楷体"/>
          <w:b/>
          <w:bCs/>
        </w:rPr>
        <w:t xml:space="preserve">半导体板块全线大涨。</w:t>
      </w:r>
      <w:r>
        <w:rPr>
          <w:rFonts w:ascii="楷体" w:eastAsia="楷体" w:hAnsi="楷体" w:cs="楷体"/>
        </w:rPr>
        <w:t xml:space="preserve">盘面上芯片产业链强势上行，先进封装方向领涨，汇成股份、太极实业、长电科技涨停，华虹宏力涨超9%、续创历史新高；芯片设计方向聚辰股份、新相微涨停，海光信息、佰维存储涨超5%；PCB概念集体走强，满坤科技20CM涨停，国际复材涨超18%，中国巨石、平安电工、骏亚科技10CM涨停，满坤科技、瑞华泰、亨通股份等多股创历史新高；尾盘存储龙头兆易创新强势涨停、续创历史新高。消息面上，台积电陆续向客户通知调涨晶圆代工价格，范围扩及7nm及以下所有先进制程、整体涨幅约5%—10%，叠加存储芯片三季度涨价40%—50%、光模块订单排至2027年，上游量价齐升逻辑获实质支撑；国内5000亿元消费再贷款缓释半年末资金压力、工信部加码算力布局形成政策托底，海外AI硬件市场止跌回暖、前期利空传闻证伪。截至收盘，PCB板块大涨、消费电子板块大涨、半导体设计板块大涨、半导体设备材料板块大涨。当日国证芯片大涨5.35%、一举收复前一交易日回调失地，资金在隔夜外围芯片股大幅波动的背景下逆势做多，反映利空证伪后市场对AI硬件景气主线的认同快速回归；先进封装、存储、PCB等多方向普涨且多股创历史新高，显示上游量价齐升由传闻预期转向代工与存储实际涨价的兑现，产业景气支撑由预期走向验证；当日V型修复扭转前日高低切换的分歧格局，可视为成长主线向中报业绩验证窗口切换过程中的方向再确认信号。</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半导体板块今日全线大涨，先进封装、存储、PCB、芯片设计等方向集体活跃，行情在先进制程代工涨价、存储量价齐升与政策流动性托底等多重逻辑共振下呈现成长主线高度聚焦的特征，建议结合自身风险偏好审慎评估后续参与节奏；本轮反弹受上游代工与存储实际涨价兑现、国内算力政策加码及海外前期利空证伪等因素共同推动，国产替代与AI硬件中长期景气逻辑未变，可保持关注产业催化向中报业绩的兑现节奏；半导体设备材料方向受全球扩产与上游需求支撑，半导体设计受需求回暖与国产替代驱动，可留意板块内部结构性机会；消费电子受端侧AI需求支撑，中长期配置价值仍在；当前外围芯片股波动加大、市场处于中报验证窗口，仓位管理宜结合个人风险承受能力审慎决策，关注市场结构性机会与节奏变化，避免集中单一方向。</w:t>
      </w:r>
    </w:p>
    <w:p/>
    <w:sectPr w:rsidR="006E6A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D9A3" w14:textId="77777777" w:rsidR="00627636" w:rsidRDefault="00627636" w:rsidP="00085164">
      <w:r>
        <w:separator/>
      </w:r>
    </w:p>
  </w:endnote>
  <w:endnote w:type="continuationSeparator" w:id="0">
    <w:p w14:paraId="5708C1E1" w14:textId="77777777" w:rsidR="00627636" w:rsidRDefault="00627636"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EE96"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7B2"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D61"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4776" w14:textId="77777777" w:rsidR="00627636" w:rsidRDefault="00627636" w:rsidP="00085164">
      <w:r>
        <w:separator/>
      </w:r>
    </w:p>
  </w:footnote>
  <w:footnote w:type="continuationSeparator" w:id="0">
    <w:p w14:paraId="14BC3794" w14:textId="77777777" w:rsidR="00627636" w:rsidRDefault="00627636"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767"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3F1"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31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455D5"/>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1BB1"/>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27636"/>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35"/>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8AE00"/>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13643</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