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电子半导体行情点评（6月25日）</w:t>
      </w:r>
    </w:p>
    <w:p>
      <w:pPr>
        <w:ind w:firstLineChars="200" w:firstLine="422"/>
        <w:rPr>
          <w:rFonts w:ascii="楷体" w:eastAsia="楷体" w:hAnsi="楷体" w:cs="楷体"/>
        </w:rPr>
      </w:pPr>
      <w:r>
        <w:rPr>
          <w:rFonts w:ascii="楷体" w:eastAsia="楷体" w:hAnsi="楷体" w:cs="楷体"/>
          <w:b/>
          <w:bCs/>
        </w:rPr>
        <w:t xml:space="preserve">A股三大股指集体上涨。</w:t>
      </w:r>
      <w:r>
        <w:rPr>
          <w:rFonts w:ascii="楷体" w:eastAsia="楷体" w:hAnsi="楷体" w:cs="楷体"/>
        </w:rPr>
        <w:t xml:space="preserve">沪指收盘上涨9.47点，涨幅：0.23%，报4120.28点；深指收盘上涨292.76点，涨幅：1.82%，报16344.08点；创业板指数收盘上涨120.56点，涨幅：2.84%，报4371.99点；国证芯片（980017）指数收盘上涨1207.24点，涨幅：5.46%，报23318.28点。</w:t>
      </w:r>
    </w:p>
    <w:p>
      <w:pPr>
        <w:ind w:firstLineChars="200" w:firstLine="422"/>
        <w:rPr>
          <w:rFonts w:ascii="楷体" w:eastAsia="楷体" w:hAnsi="楷体" w:cs="楷体"/>
        </w:rPr>
      </w:pPr>
      <w:r>
        <w:rPr>
          <w:rFonts w:ascii="楷体" w:eastAsia="楷体" w:hAnsi="楷体" w:cs="楷体"/>
          <w:b/>
          <w:bCs/>
        </w:rPr>
        <w:t xml:space="preserve">半导体板块全线大涨。</w:t>
      </w:r>
      <w:r>
        <w:rPr>
          <w:rFonts w:ascii="楷体" w:eastAsia="楷体" w:hAnsi="楷体" w:cs="楷体"/>
        </w:rPr>
        <w:t xml:space="preserve">盘面上存储芯片领涨全市场，芯片产业链批量冲高，中微半导20CM涨停，汇成股份涨超15%，北京君正涨超12%，佰维存储涨超10%，长电科技、太极实业10CM涨停并实现2连板，聚辰股份、大族数控涨超8%，兆易创新、华天科技、雅克科技、江波龙等多股跟涨。资金面上做多情绪全面回暖，科创50指数盘中涨超4%续创历史新高、科创芯片站上2000点，全市场成交额放量逾3000亿元，增量资金集中涌入高景气硬科技赛道。消息面上，海外存储龙头美光第三财季营收、盈利、毛利率全部创历史新高并上调下季度指引、盘后大涨逾16%，带动美股芯片走高，SK海力士、三星电子等日韩半导体股同步反弹，存储行业底部反转获实质验证；高通落地数据中心AI芯片布局、将向微软与Meta供货新款AI芯片，AI算力链需求预期进一步打开；国内两融余额刷新阶段高点、硬科技扶持政策持续落地，内外流动性红利共振。截至收盘，PCB板块上涨、消费电子板块大涨、半导体设计板块大涨、半导体设备材料板块上涨。当日国证芯片大涨5.46%、再创阶段新高，资金延续前一交易日做多，反映美光财报将存储需求持续性的分歧彻底证伪后，市场对AI硬件景气主线的认同进一步强化；存储、先进封装、芯片设计多方向普涨且龙头连板，显示上游量价齐升由代工与存储实际涨价兑现转向海外龙头业绩的交叉验证，产业景气支撑由国内单点扩散为全球共振；当日放量上行延续前一日V型修复后的强势格局，可视为成长主线向中报业绩验证窗口切换过程中景气方向的再确认信号。</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全线大涨，存储、先进封装、芯片设计等方向集体活跃，行情在海外存储龙头业绩创纪录、AI算力链需求预期打开与内外流动性红利共振等多重逻辑驱动下呈现成长主线高度聚焦的特征，建议结合自身风险偏好审慎评估后续参与节奏；本轮上行受美光财报验证存储底部反转、日韩芯片股同步反弹及国内政策与流动性托底等因素共同推动，国产替代与AI硬件中长期景气逻辑未变，可保持关注产业催化向中报业绩的兑现节奏；半导体设备材料方向受全球扩产与上游量价齐升支撑，半导体设计受需求回暖与国产替代驱动，可留意板块内部结构性机会；消费电子受端侧AI需求支撑，中长期配置价值仍在；当前板块快速上行后估值有所抬升、外围芯片股波动加大、市场处于中报验证窗口，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