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电子半导体行情点评（6月29日）</w:t>
      </w:r>
    </w:p>
    <w:p>
      <w:pPr>
        <w:ind w:firstLineChars="200" w:firstLine="422"/>
        <w:rPr>
          <w:rFonts w:ascii="楷体" w:eastAsia="楷体" w:hAnsi="楷体" w:cs="楷体"/>
        </w:rPr>
      </w:pPr>
      <w:r>
        <w:rPr>
          <w:rFonts w:ascii="楷体" w:eastAsia="楷体" w:hAnsi="楷体" w:cs="楷体"/>
          <w:b/>
          <w:bCs/>
        </w:rPr>
        <w:t xml:space="preserve">A股三大股指集体上涨。</w:t>
      </w:r>
      <w:r>
        <w:rPr>
          <w:rFonts w:ascii="楷体" w:eastAsia="楷体" w:hAnsi="楷体" w:cs="楷体"/>
        </w:rPr>
        <w:t xml:space="preserve">沪指收盘上涨46.64点，涨幅：1.16%，报4073.90点；深指收盘上涨30.65点，涨幅：0.19%，报15812.87点；创业板指数收盘上涨22.49点，涨幅：0.54%，报4216.70点；国证芯片（980017）指数收盘上涨1169.96点，涨幅：5.07%，报24226.24点。</w:t>
      </w:r>
    </w:p>
    <w:p>
      <w:pPr>
        <w:ind w:firstLineChars="200" w:firstLine="422"/>
        <w:rPr>
          <w:rFonts w:ascii="楷体" w:eastAsia="楷体" w:hAnsi="楷体" w:cs="楷体"/>
        </w:rPr>
      </w:pPr>
      <w:r>
        <w:rPr>
          <w:rFonts w:ascii="楷体" w:eastAsia="楷体" w:hAnsi="楷体" w:cs="楷体"/>
          <w:b/>
          <w:bCs/>
        </w:rPr>
        <w:t xml:space="preserve">半导体板块强势冲高。</w:t>
      </w:r>
      <w:r>
        <w:rPr>
          <w:rFonts w:ascii="楷体" w:eastAsia="楷体" w:hAnsi="楷体" w:cs="楷体"/>
        </w:rPr>
        <w:t xml:space="preserve">盘面上半导体硅片方向直线拉升，有研硅、银河微电20CM涨停，半导体材料赛道全线飘红，电子级硅、高纯钨、钽等上游特种材料市场关注度同步提升。存储芯片表现亮眼，兆易创新A股尾盘逼近涨停、成交额突破400亿元刷新历史新高，并首次被纳入海外内存主题ETF，港股芯片股同步走强，华虹宏力、澜起科技、上海复旦等涨超6%；先进封装、封测方向跟涨，而PCB、CPO等算力硬件方向走弱，鹏鼎控股等多股跌停，板块内部轮动特征明显。截至收盘，PCB板块走弱、消费电子板块震荡整固、半导体设计板块大涨、半导体设备材料板块大涨。当日资金在AI硬件主线内部由前期强势的PCB、光模块等中下游应用端，向硅片、材料、设备等上游环节主动扩散，这一轮动结构反映市场对产业景气向上游量价齐升传导的认同正在强化；存储方向受海外龙头业绩验证、苹果拟采购长鑫存储内存及国产存储大型IPO相继推进等多重催化共振，长鑫科技科创板IPO获同意注册、长江存储启动上市辅导，国产存储产业链的资本化进程与全球公信力同步提升，景气逻辑正由概念预期转向实质兑现；当日国证芯片大涨5.07%、科创50涨逾4.6%，放量上行延续成长主线强势格局，可视为产业景气向上游延伸过程中的方向再确认信号。</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强势冲高，资金在AI硬件主线内部呈现由中下游向上游硅片、材料、设备环节主动扩散的轮动特征，建议重点关注这一结构性变化所反映的产业景气传导逻辑；存储方向受海外龙头业绩验证、国产存储大型IPO推进及下游采购预期升温等多重因素共振，国产替代与AI算力中长期景气逻辑清晰，可结合自身风险偏好审慎评估参与节奏；半导体设备材料、芯片设计方向延续强势，可留意板块内部结构性机会与中报业绩验证进展；消费电子受端侧AI需求支撑、当日节奏性整固，中长期配置价值仍在，短期可保持关注；PCB、光模块等算力硬件方向出现回调，建议留意板块轮动节奏与情绪变化；当前板块快速上行后估值有所抬升、外围科技股波动加大，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