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电子半导体行情点评（6月3日）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A股三大股指震荡上行。</w:t>
      </w:r>
      <w:r>
        <w:rPr>
          <w:rFonts w:ascii="楷体" w:eastAsia="楷体" w:hAnsi="楷体" w:cs="楷体"/>
        </w:rPr>
        <w:t xml:space="preserve">沪指收盘上涨8.87点，涨幅：0.22%，报4083.97点；深指收盘上涨113.58点，涨幅：0.73%，报15704.71点；创业板指数收盘上涨67.12点，涨幅：1.65%，报4122.99点；国证芯片（980017）指数收盘上涨608.30点，涨幅：3.45%，报18238.27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半导体板块全线上涨。</w:t>
      </w:r>
      <w:r>
        <w:rPr>
          <w:rFonts w:ascii="楷体" w:eastAsia="楷体" w:hAnsi="楷体" w:cs="楷体"/>
        </w:rPr>
        <w:t xml:space="preserve">早盘算力硬件与光通信方向集体爆发，剑桥科技、亨通光电等多股涨停，中际旭创、天孚通信、新易盛刷新历史新高，催化源于英伟达官宣Spectrum-X硅光CPO交换机正式量产，AI共封装光学产业化落地；半导体产业链同步走强，长电科技、立昂微、通富微电涨停。盘中存储方向接力领涨，同有科技20CM涨停，聚辰股份涨超13%，澜起科技涨超10%，兆易创新、佰维存储涨超7%，受SK海力士计划五年内将晶圆产能翻番、铠侠寻求签订远期NAND长约等供给端信号提振；消费电子方向蓝思科技涨超10%，卓胜微、东山精密涨超6%。截至收盘，PCB板块上涨、消费电子板块上涨、半导体设计板块大涨、半导体设备材料板块上涨。今日上涨紧接前一交易日的超跌修复，行情由情绪修复进一步向基本面驱动切换：海外存储龙头扩产指引与远期长协落地，将存储供需格局向上修正，叠加硅光CPO量产推动AI互连环节由叙事走向商业化落地，板块景气逻辑获得产业端验证；当日资金在科技主线内部由光通信向存储、先进封装积极接力，呈现景气扩散而非单点拉升的特征，反映市场对AI算力链不同环节差异化机会的再配置；本次上涨可视为前期调整后承接力度的进一步确认，后续可关注存储涨价兑现节奏与成交量的持续配合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全线上涨，行情由情绪修复向基本面驱动延续，建议结合自身风险偏好审慎评估后续参与节奏；本轮上涨与海外存储龙头扩产指引、英伟达硅光CPO量产及AI算力链景气扩散相关，可保持关注修复行情的持续性与成交量承接力度；存储方向受SK海力士产能翻番、远期NAND长协等供给端信号提振，可留意存储涨价兑现与产业化进展窗口；光通信、先进封装等细分方向资金主动接力，可关注板块内部结构性机会；消费电子方向在AI终端与算力基础设施需求支撑下具备中长期配置价值，可保持关注；整体仓位管理宜结合个人风险承受能力审慎决策，关注市场结构性机会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