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电子半导体行情点评（6月30日）</w:t>
      </w:r>
    </w:p>
    <w:p>
      <w:pPr>
        <w:ind w:firstLineChars="200" w:firstLine="422"/>
        <w:rPr>
          <w:rFonts w:ascii="楷体" w:eastAsia="楷体" w:hAnsi="楷体" w:cs="楷体"/>
        </w:rPr>
      </w:pPr>
      <w:r>
        <w:rPr>
          <w:rFonts w:ascii="楷体" w:eastAsia="楷体" w:hAnsi="楷体" w:cs="楷体"/>
          <w:b/>
          <w:bCs/>
        </w:rPr>
        <w:t xml:space="preserve">A股三大股指集体上涨。</w:t>
      </w:r>
      <w:r>
        <w:rPr>
          <w:rFonts w:ascii="楷体" w:eastAsia="楷体" w:hAnsi="楷体" w:cs="楷体"/>
        </w:rPr>
        <w:t xml:space="preserve">沪指收盘上涨20.50点，涨幅：0.50%，报4094.40点；深指收盘上涨392.69点，涨幅：2.48%，报16205.56点；创业板指数收盘上涨126.01点，涨幅：2.99%，报4342.71点；国证芯片（980017）指数收盘上涨634.81点，涨幅：2.62%，报24861.05点。</w:t>
      </w:r>
    </w:p>
    <w:p>
      <w:pPr>
        <w:ind w:firstLineChars="200" w:firstLine="422"/>
        <w:rPr>
          <w:rFonts w:ascii="楷体" w:eastAsia="楷体" w:hAnsi="楷体" w:cs="楷体"/>
        </w:rPr>
      </w:pPr>
      <w:r>
        <w:rPr>
          <w:rFonts w:ascii="楷体" w:eastAsia="楷体" w:hAnsi="楷体" w:cs="楷体"/>
          <w:b/>
          <w:bCs/>
        </w:rPr>
        <w:t xml:space="preserve">半导体板块全线走强。</w:t>
      </w:r>
      <w:r>
        <w:rPr>
          <w:rFonts w:ascii="楷体" w:eastAsia="楷体" w:hAnsi="楷体" w:cs="楷体"/>
        </w:rPr>
        <w:t xml:space="preserve">盘面上半导体设备方向爆发，正帆科技、联得装备涨超10%，华亚智能、屹唐股份、富乐德、中科飞测、北方华创跟涨，隔夜美股半导体设备股强势，叠加韩国宣布建设四座芯片厂、三星与SK海力士未来十年投资规模有望超1000万亿韩元等扩产消息形成催化；算力硬件与新型显示方向同步活跃，寒武纪盘中涨超8%、总市值突破万亿成为科创板首只万亿个股，晶方科技、格科微、新洁能等涨停，MiniLED、MicroLED与玻璃基板板块爆发，TCL科技、京东方A等跟涨。截至收盘，PCB板块走强、消费电子板块大涨、半导体设计板块上涨、半导体设备材料板块上涨。当日设备材料延续前期强势，海外设备龙头股共振与韩国大规模扩产计划共同构成产业景气向上游延伸的外部验证，量价齐升逻辑获得增量支撑；消费电子受新型显示与端侧需求带动领涨，与设计、设备形成多点开花格局，资金在半导体主线内部呈现广度扩散而非单一方向集中，配置结构相对健康；国证芯片放量上行、科创50续创新高，成长主线强势格局延续，当日普涨可视为产业景气共识进一步强化的方向确认信号。</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半导体板块今日全线走强，资金在产业主线内部由设备材料向消费电子、芯片设计、算力硬件多方向广度扩散，建议重点关注这一普涨格局所反映的产业景气共识强化逻辑；半导体设备材料方向受海外设备股共振、韩国及存储龙头大规模扩产计划等多重因素催化，国产替代与量价齐升中长期逻辑清晰，可结合自身风险偏好审慎评估参与节奏；消费电子受MiniLED、玻璃基板等新型显示及端侧AI需求支撑，中长期配置价值仍在，可保持关注；芯片设计、存储方向延续强势，可留意板块内部结构性机会与中报业绩验证进展；当前板块快速上行后估值有所抬升、外围科技股波动加大，仓位管理宜结合个人风险承受能力审慎决策，关注市场结构性机会与节奏变化，避免集中单一方向。</w:t>
      </w:r>
    </w:p>
    <w:p/>
    <w:sectPr w:rsidR="006E6A3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D9A3" w14:textId="77777777" w:rsidR="00627636" w:rsidRDefault="00627636" w:rsidP="00085164">
      <w:r>
        <w:separator/>
      </w:r>
    </w:p>
  </w:endnote>
  <w:endnote w:type="continuationSeparator" w:id="0">
    <w:p w14:paraId="5708C1E1" w14:textId="77777777" w:rsidR="00627636" w:rsidRDefault="00627636"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EE96"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67B2"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BD61"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4776" w14:textId="77777777" w:rsidR="00627636" w:rsidRDefault="00627636" w:rsidP="00085164">
      <w:r>
        <w:separator/>
      </w:r>
    </w:p>
  </w:footnote>
  <w:footnote w:type="continuationSeparator" w:id="0">
    <w:p w14:paraId="14BC3794" w14:textId="77777777" w:rsidR="00627636" w:rsidRDefault="00627636"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7767"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B3F1"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831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455D5"/>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1BB1"/>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27636"/>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35"/>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8AE00"/>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13643</TotalTime>
  <Pages>1</Pages>
  <Words>158</Words>
  <Characters>907</Characters>
  <Application>Microsoft Office Word</Application>
  <DocSecurity>0</DocSecurity>
  <Lines>7</Lines>
  <Paragraphs>2</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322</cp:revision>
  <dcterms:created xsi:type="dcterms:W3CDTF">2025-07-14T07:12:00Z</dcterms:created>
  <dcterms:modified xsi:type="dcterms:W3CDTF">2026-05-25T07:27:00Z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