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电子半导体行情点评（6月4日）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A股三大股指集体回落。</w:t>
      </w:r>
      <w:r>
        <w:rPr>
          <w:rFonts w:ascii="楷体" w:eastAsia="楷体" w:hAnsi="楷体" w:cs="楷体"/>
        </w:rPr>
        <w:t xml:space="preserve">沪指收盘下跌26.19点，跌幅：0.64%，报4057.78点；深指收盘下跌43.14点，跌幅：0.27%，报15661.57点；创业板指数收盘下跌34.10点，跌幅：0.83%，报4088.88点；国证芯片（980017）指数收盘上涨344.88点，涨幅：1.89%，报18583.15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半导体板块逆势走强。</w:t>
      </w:r>
      <w:r>
        <w:rPr>
          <w:rFonts w:ascii="楷体" w:eastAsia="楷体" w:hAnsi="楷体" w:cs="楷体"/>
        </w:rPr>
        <w:t xml:space="preserve">早盘三大指数集体下挫、全市场超4200只个股下跌，半导体产业链与存储芯片方向逆势上行：MLCC概念走强，宏达电子20CM涨停，双星新材涨停，利和兴涨超12%；玻璃基板概念活跃，京东方A、红星发展、华映科技涨停；半导体产业链中船特气涨停创新高，源杰科技涨逾16%，一博科技、迅捷兴、华特气体涨停。盘中资金在弱市中持续向高景气科技主线集中，存储与被动元件方向接力领涨。截至收盘，PCB板块上涨、消费电子板块大涨、半导体设计板块上涨、半导体设备材料板块领涨。今日大盘普跌而半导体逆势走强，显示资金在市场缩量调整中主动向高景气环节集中配置，板块走出独立于大盘的结构性行情。存储方向强势获得产业端验证：DRAM大宗价格半年内涨至约3.5倍，主要原厂集中产能于HBM、缩减通用DDR供给，供需缺口推动涨价由预期走向兑现；MLCC在AI服务器物料成本中已升至仅次于GPU与存储的第三位，单机用量随算力机柜密度提升而显著放量；设备材料领涨与国内存储扩产、先进制程持续迭代下的国产设备订单兑现相印证。当日走势更多体现弱市中资金对确定性景气方向的再配置，可视为板块独立性增强的结构信号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逆势走强，在大盘普跌中走出独立的结构性行情，建议结合自身风险偏好审慎评估后续参与节奏；本轮强势与存储涨价持续兑现、AI算力建设带动被动元件需求放量及国内存储扩产相关，可保持关注高景气方向的持续性与成交量承接力度；存储方向受DRAM大宗价格持续上行、原厂集中产能于HBM等供给端信号提振，可留意存储涨价兑现与产业化进展窗口；MLCC、玻璃基板、半导体设备材料等细分方向资金主动配置，可关注板块内部结构性机会；消费电子方向在端侧AI与AI PC需求支撑下具备中长期配置价值，可保持关注；当前市场缩量调整、个股普跌，整体仓位管理宜结合个人风险承受能力审慎决策，关注市场结构性机会与节奏变化，避免集中单一方向。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