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电子半导体行情点评（6月5日）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A股三大股指集体走低。</w:t>
      </w:r>
      <w:r>
        <w:rPr>
          <w:rFonts w:ascii="楷体" w:eastAsia="楷体" w:hAnsi="楷体" w:cs="楷体"/>
        </w:rPr>
        <w:t xml:space="preserve">沪指收盘下跌30.04点，跌幅：0.74%，报4027.74点；深指收盘下跌346.87点，跌幅：2.21%，报15314.70点；创业板指数收盘下跌130.95点，跌幅：3.20%，报3957.94点；国证芯片（980017）指数收盘下跌941.96点，跌幅：5.07%，报17641.19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半导体板块整体回调。</w:t>
      </w:r>
      <w:r>
        <w:rPr>
          <w:rFonts w:ascii="楷体" w:eastAsia="楷体" w:hAnsi="楷体" w:cs="楷体"/>
        </w:rPr>
        <w:t xml:space="preserve">受隔夜外围半导体板块大幅下挫拖累，博通因业绩不及预期暴跌超12%、美光科技跌近8%、费城半导体指数走低，A股算力硬件与存储芯片方向高位回吐；受新一代AI服务器内存配置调整相关消息影响，存储方向承压，澜起科技、兆易创新等集体回调，中际旭创跌超7%、成交额突破500亿元刷新历史天量，光通信跌幅居前。结构上市场延续分化，玻璃基板概念逆势爆发，京东方A两连板，彩虹股份、沃格光电、金瑞矿业、凯盛科技、三峡新材等多股涨停，机器人、金属新材料等方向同步走强，两市仍有超3200只个股上涨。截至收盘，PCB板块回调、消费电子板块走弱、半导体设计板块领跌、半导体设备材料板块走弱。今日回调主要源于外围AI芯片板块的事件性扰动，引发存储与算力硬件链高位获利了结，但国产算力与存储产业链的中长期景气逻辑并未改变，调整更多体现前期连续上行后的节奏再平衡。当日资金在科技主线内部由高位的光通信、存储向玻璃基板等先进封装新方向积极轮动，玻璃基板作为材料、面板、封装、设备协同驱动的先进封装生态重构方向，2026年有望成为商业化导入的关键期，结构性机会仍在主线内部延续。当日走势紧接前期三连阳后的高位震荡，可视为行情内部的分歧与切换信号，后续可关注成交量承接力度与资金在细分方向间的再配置节奏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受外围芯片股大幅回调拖累整体走低，行情进入高位震荡与内部切换阶段，建议结合自身风险偏好审慎评估后续参与节奏；本轮调整主要源于海外AI服务器内存配置调整的事件性扰动，国产算力与存储产业链中长期景气逻辑未变，可保持关注外围情绪扰动后的修复力度与成交量承接情况；玻璃基板等先进封装新方向资金主动轮动，2026年有望进入商业化导入关键期，可关注板块内部结构性机会；存储、光通信等高位方向短期获利了结，可留意回调后的企稳节奏；消费电子方向在端侧AI需求支撑下具备中长期配置价值，可保持关注；整体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