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电子半导体行情点评（6月8日）</w:t>
      </w:r>
    </w:p>
    <w:p>
      <w:pPr>
        <w:ind w:firstLineChars="200" w:firstLine="422"/>
        <w:rPr>
          <w:rFonts w:ascii="楷体" w:eastAsia="楷体" w:hAnsi="楷体" w:cs="楷体"/>
        </w:rPr>
      </w:pPr>
      <w:r>
        <w:rPr>
          <w:rFonts w:ascii="楷体" w:eastAsia="楷体" w:hAnsi="楷体" w:cs="楷体"/>
          <w:b/>
          <w:bCs/>
        </w:rPr>
        <w:t xml:space="preserve">A股三大股指集体重挫。</w:t>
      </w:r>
      <w:r>
        <w:rPr>
          <w:rFonts w:ascii="楷体" w:eastAsia="楷体" w:hAnsi="楷体" w:cs="楷体"/>
        </w:rPr>
        <w:t xml:space="preserve">沪指收盘下跌68.40点，跌幅：1.70%，报3959.34点；深指收盘下跌493.51点，跌幅：3.22%，报14821.19点；创业板指数收盘下跌146.15点，跌幅：3.69%，报3811.79点；国证芯片（980017）指数收盘下跌760.98点，跌幅：4.31%，报16880.21点。</w:t>
      </w:r>
    </w:p>
    <w:p>
      <w:pPr>
        <w:ind w:firstLineChars="200" w:firstLine="422"/>
        <w:rPr>
          <w:rFonts w:ascii="楷体" w:eastAsia="楷体" w:hAnsi="楷体" w:cs="楷体"/>
        </w:rPr>
      </w:pPr>
      <w:r>
        <w:rPr>
          <w:rFonts w:ascii="楷体" w:eastAsia="楷体" w:hAnsi="楷体" w:cs="楷体"/>
          <w:b/>
          <w:bCs/>
        </w:rPr>
        <w:t xml:space="preserve">半导体板块全线调整。</w:t>
      </w:r>
      <w:r>
        <w:rPr>
          <w:rFonts w:ascii="楷体" w:eastAsia="楷体" w:hAnsi="楷体" w:cs="楷体"/>
        </w:rPr>
        <w:t xml:space="preserve">受隔夜外围芯片股大幅下挫拖累，上周五美股费城半导体指数重挫超10%、英伟达跌超6%、美光科技跌超13%，叠加美国5月非农数据超预期引发加息预期反扑，2年期美债收益率跳升至4.1%、10年期重返4.53%，全球芯片股同步承压，A股算力硬件、存储与设计方向高位回吐；盘中CPO与铜缆高速连接、MLCC方向走弱，火炬电子、振华科技等跌停，存储芯片兆易创新、澜起科技等集体回调，半导体设计龙头卓胜微跌超10%。早盘惯性下探后部分资金逆势回流，芯片ETF、半导体设备ETF盘中获净申购，显示调整中仍有配置资金借机布局。截至收盘，PCB板块走弱、消费电子板块大跌、半导体设计板块领跌、半导体设备材料板块走弱。今日急跌主要源于外围极致交易结构放大利空波动，叠加4月以来板块累计涨幅可观后的减仓共振，属高位获利了结与节奏再平衡，而非产业景气逻辑的转向。从产业端看，AI算力需求与国产化两条主线并未逆转：英伟达明确内存供应链从晶圆到封装到硅光仍将短缺数年，并加速绑定海力士锁定供给，WSTS将2026年存储芯片销售额增速大幅上调至约250%，SEMI数据显示一季度全球半导体设备出货同比增长14%。当日走势可视为外部冲击下的阶段性分歧与切换信号，后续可关注外围情绪修复力度与资金在细分方向间的再配置节奏。</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半导体板块受外围芯片股大幅回调拖累整体走低，行情进入高位震荡与节奏再平衡阶段，建议结合自身风险偏好审慎评估后续参与节奏；本轮急跌主要源于海外加息预期反扑下的极致交易结构调整与前期涨幅兑现，国产算力与存储产业链中长期景气逻辑未变，可保持关注外围情绪扰动后的修复力度与成交量承接情况；存储方向受内存供应链长期偏紧、原厂集中产能于HBM等供给信号支撑，可留意涨价兑现与产业化进展窗口；半导体设备材料受益国内扩产与设备出货高增，可关注板块内部结构性机会；消费电子方向在端侧AI需求支撑下具备中长期配置价值，可保持关注；当前市场普跌、波动加大，整体仓位管理宜结合个人风险承受能力审慎决策，关注市场结构性机会与节奏变化，避免集中单一方向。</w:t>
      </w:r>
    </w:p>
    <w:p/>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