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电子半导体行情点评（6月9日）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A股三大股指集体反弹。</w:t>
      </w:r>
      <w:r>
        <w:rPr>
          <w:rFonts w:ascii="楷体" w:eastAsia="楷体" w:hAnsi="楷体" w:cs="楷体"/>
        </w:rPr>
        <w:t xml:space="preserve">沪指收盘上涨50.69点，涨幅：1.28%，报4010.03点；深指收盘上涨447.53点，涨幅：3.02%，报15268.71点；创业板指数收盘上涨149.96点，涨幅：3.93%，报3961.75点；国证芯片（980017）指数收盘上涨871.07点，涨幅：5.16%，报17751.28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半导体板块全线反弹。</w:t>
      </w:r>
      <w:r>
        <w:rPr>
          <w:rFonts w:ascii="楷体" w:eastAsia="楷体" w:hAnsi="楷体" w:cs="楷体"/>
        </w:rPr>
        <w:t xml:space="preserve">受隔夜外围芯片股全线反攻提振，费城半导体指数大涨超5%、英特尔涨超11%、美光科技涨超9%市值重回万亿美元上方、应用材料涨超8%，叠加美伊暂缓交火、国际油价冲高回落，地缘风险降温修复市场风险偏好，A股算力硬件、半导体设计与设备材料方向集体回升。早盘半导体芯片股大幅反弹，西安奕材、晶丰明源、杰华特等多股涨停；PCB与算力硬件方向同步走强，金安国纪、东材科技、华正新材等涨停，港股PCB龙头建滔集团盘中涨超20%。资金面上，半导体设备ETF、科创半导体ETF连续两日获净申购，显示前期调整中配置资金借机回流。截至收盘，PCB板块大涨、消费电子板块大涨、半导体设计板块大涨、半导体设备材料板块领涨。本次快速修复并非单纯情绪反弹，而是外围风险偏好回暖与产业催化的共振：英特尔代工叙事重燃，谷歌拟下达约300万颗AI芯片订单、英伟达测试其1.8nm先进工艺；PCB方向受中东PPE树脂供应受阻、覆铜板连续提价驱动，涨价逻辑持续强化；WSTS春季报告进一步上调2026及2027年全球半导体增长预期。设备材料方向领涨且设备ETF连续吸金，反映资金在主线内部主动配置、向产业确定性更高的上游环节集中。当日V型修复紧接前期急跌，可视为外部冲击消化后的企稳与切换信号，后续可关注成交承接力度与外围情绪修复的持续性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在外围芯片股反攻与地缘风险降温带动下全线反弹，行情由前期急跌进入修复企稳阶段，建议结合自身风险偏好审慎评估后续参与节奏；本轮反弹受风险偏好回暖与产业催化共振推动，国产算力与存储产业链中长期景气逻辑未变，可保持关注外围情绪修复的持续性与成交量承接情况；PCB方向受上游覆铜板涨价与原料供应偏紧支撑，可留意涨价兑现与产业链传导节奏；半导体设备材料受益国内扩产与设备出货高增，可关注板块内部结构性机会；消费电子方向在端侧AI需求支撑下具备中长期配置价值，可保持关注；当前市场波动加大，整体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