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电子半导体行情点评（7月10日）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A股三大股指集体回调。</w:t>
      </w:r>
      <w:r>
        <w:rPr>
          <w:rFonts w:ascii="楷体" w:eastAsia="楷体" w:hAnsi="楷体" w:cs="楷体"/>
        </w:rPr>
        <w:t xml:space="preserve">沪指收盘下跌40.43点，跌幅：1.00%，报3996.16点；深指收盘下跌352.06点，跌幅：2.29%，报15046.67点；创业板指数收盘下跌175.44点，跌幅：4.37%，报3842.73点；国证芯片（980017）指数收盘下跌1549.81点，跌幅：6.49%，报22325.10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半导体板块高位回落。</w:t>
      </w:r>
      <w:r>
        <w:rPr>
          <w:rFonts w:ascii="楷体" w:eastAsia="楷体" w:hAnsi="楷体" w:cs="楷体"/>
        </w:rPr>
        <w:t xml:space="preserve">早盘存储芯片方向延续前一日强势，长鑫科技披露科创板招股书、确定7月16日开启新股申购、募资约295亿元，叠加兆易创新亮眼业绩预告，深科达20CM涨停，蓝晓科技涨超17%，力源信息涨超14%，华天科技、长电科技涨超9%，通富微电、兆易创新、沪硅产业涨超6%，多股盘中创历史新高。但午后科技主线快速走弱，半导体产业链持续回落，晶合集成跌超17%，华润微跌超14%；电子化学品方向同步下挫，中船特气接近跌停，华特气体跌近15%，科创50指数全天收跌5.53%。截至收盘，PCB、消费电子、半导体设计、半导体设备材料板块全线回调，国证芯片指数跌幅明显大于三大股指。今日走势是前一交易日单日大涨后的阶段性修正，前期交易较为拥挤的存储、设备、算力方向获利了结相对集中，属交易结构的自然消化而非产业逻辑的逆转；海外AI资本开支回报节奏的扰动与费城半导体指数近期的持续波动，是情绪层面的主要诱因。随着中报季逐步展开，板块正从主题驱动向业绩验证过渡，具备真实盈利兑现能力的细分龙头有望率先企稳，产业景气与国产替代的中长期主线并未改变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高位回调，前期涨幅较大方向出现相对集中的获利了结，建议保持关注国产存储、先进封装、算力芯片、设备材料等中长期景气方向，结合中报业绩兑现与订单进展审慎评估；单日大幅波动之后，宜结合自身风险偏好留意成交量能与核心龙头的承接强度，关注市场结构变化；短期外围半导体波动与AI资本开支预期扰动仍在，可关注板块企稳信号与业绩验证节奏，避免过度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