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电子半导体行情点评（7月6日）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A股三大股指冲高回落。</w:t>
      </w:r>
      <w:r>
        <w:rPr>
          <w:rFonts w:ascii="楷体" w:eastAsia="楷体" w:hAnsi="楷体" w:cs="楷体"/>
        </w:rPr>
        <w:t xml:space="preserve">沪指收盘下跌2.41点，跌幅：0.06%，报4041.24点；深指收盘下跌180.71点，跌幅：1.16%，报15416.80点；创业板指数收盘下跌71.07点，跌幅：1.77%，报3948.86点；国证芯片（980017）指数收盘上涨173.55点，涨幅：0.79%，报22108.03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半导体板块震荡分化。</w:t>
      </w:r>
      <w:r>
        <w:rPr>
          <w:rFonts w:ascii="楷体" w:eastAsia="楷体" w:hAnsi="楷体" w:cs="楷体"/>
        </w:rPr>
        <w:t xml:space="preserve">华为半导体负责人于近期发布“韬定律”V2版本，将先进封装、混合键合、光互联等工艺与架构、材料创新相结合，为半导体性能提升提供新的技术路线，盘初EDA与先进封装概念集体走强，概伦电子20CM涨停，华大九天涨近15%，银河微电涨超14%，盛合晶微涨超10%，长电科技、利扬芯片涨超4%。存储方向业绩兑现催化明显，江波龙披露上半年归母净利润同比预增逾600倍、盘中大涨近15%，叠加DRAM/NAND涨价周期延续至2027年、三季度传统DRAM拟上调13%—18%的行业预期，佰维存储等跟涨。午后医药医疗逆势走强，PCB、CPO等算力硬件走弱，杭电股份跌停，消费电子方向明显调整。截至收盘，PCB板块走弱、消费电子板块大跌、半导体设计板块小幅上涨、半导体设备材料板块小幅走弱，国证芯片指数逆三大股指收红。今日走势呈现半导体主线内部再平衡特征，资金由前期相对拥挤的算力硬件、消费电子方向，向EDA、先进封装、存储等兼具自主创新与业绩确定性的方向集中，反映行情正由“涨价交易”向中报“盈利兑现”切换。“韬定律”为国产半导体设计与制造环节打开新的技术路径，存储涨价周期与龙头中报业绩兑现相互印证，产业景气支撑仍在，板块内部结构性分化或成为后续行情演进的主基调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震荡分化、国证芯片逆三大股指收红，资金在半导体主线内部由算力硬件、消费电子等前期拥挤方向向EDA、先进封装、存储等自主创新与业绩确定性方向轮动，建议保持关注这一内部再平衡过程所反映的结构性机会；“韬定律”V2为国产半导体设计、先进封装与EDA环节提供新的技术路线，相关方向市场关注度较高，可结合产业化进展与订单落地情况审慎评估；存储方向涨价周期延续、龙头中报业绩兑现，产业景气逻辑较为清晰，仍需结合下游需求与价格趋势变化持续跟踪；消费电子、PCB及算力硬件方向短期承压，可留意板块内部分化与中报业绩验证进展；当前外围科技股波动加大、市场关注度较高，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