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电子半导体行情点评（7月7日）</w:t>
      </w:r>
    </w:p>
    <w:p>
      <w:pPr>
        <w:ind w:firstLineChars="200" w:firstLine="422"/>
        <w:rPr>
          <w:rFonts w:ascii="楷体" w:eastAsia="楷体" w:hAnsi="楷体" w:cs="楷体"/>
        </w:rPr>
      </w:pPr>
      <w:r>
        <w:rPr>
          <w:rFonts w:ascii="楷体" w:eastAsia="楷体" w:hAnsi="楷体" w:cs="楷体"/>
          <w:b/>
          <w:bCs/>
        </w:rPr>
        <w:t xml:space="preserve">A股三大股指震荡调整。</w:t>
      </w:r>
      <w:r>
        <w:rPr>
          <w:rFonts w:ascii="楷体" w:eastAsia="楷体" w:hAnsi="楷体" w:cs="楷体"/>
        </w:rPr>
        <w:t xml:space="preserve">沪指收盘下跌51.00点，跌幅：1.26%，报3990.24点；深指收盘下跌191.69点，跌幅：1.24%，报15225.11点；创业板指数收盘下跌36.95点，跌幅：0.94%，报3911.91点；国证芯片（980017）指数收盘下跌103.84点，跌幅：0.47%，报22004.19点。</w:t>
      </w:r>
    </w:p>
    <w:p>
      <w:pPr>
        <w:ind w:firstLineChars="200" w:firstLine="422"/>
        <w:rPr>
          <w:rFonts w:ascii="楷体" w:eastAsia="楷体" w:hAnsi="楷体" w:cs="楷体"/>
        </w:rPr>
      </w:pPr>
      <w:r>
        <w:rPr>
          <w:rFonts w:ascii="楷体" w:eastAsia="楷体" w:hAnsi="楷体" w:cs="楷体"/>
          <w:b/>
          <w:bCs/>
        </w:rPr>
        <w:t xml:space="preserve">半导体板块逆势走强。</w:t>
      </w:r>
      <w:r>
        <w:rPr>
          <w:rFonts w:ascii="楷体" w:eastAsia="楷体" w:hAnsi="楷体" w:cs="楷体"/>
        </w:rPr>
        <w:t xml:space="preserve">隔夜费城半导体指数上涨2.17%带动外盘科技情绪回暖，A股半导体板块盘初逆市走高，硅片方向领涨，有研硅20CM涨停，有研新材涨停，上海合晶涨超11%，沪硅产业涨超8%，TCL中环涨停，立昂微、中晶科技跟涨；先进封装方向华天科技涨停，算力芯片方向瑞芯微开盘封板、沐曦股份涨超14%、万通发展两连板。盘中存储方向受三星财报未超预期扰动，韩国KOSPI指数跌超4%、三星电子与SK海力士大幅下挫，A股存储芯片随之回调，但上游设备材料、硅片概念坚挺，半导体设备相关ETF盘中一度涨超3%。截至收盘，PCB板块走弱、消费电子板块小幅走弱、半导体设计板块震荡整理、半导体设备材料板块上涨，国证芯片指数跌幅显著小于三大股指。硅片龙头年内第二轮提价持续落地，12英寸常规硅片涨价5%—8%、适配AI/HPC场景的高端专用硅片涨幅达18%—22%，年内累计涨幅超15%，量价齐升逻辑正由涨价预期向订单与业绩兑现延伸，叠加HBM带动单位硅片消耗提升，上游材料环节景气支撑较为扎实。今日在大盘失守4000点、近4800只个股下跌的普跌格局中，资金逆势向硅片、先进封装等兼具自主创新与涨价确定性的方向集中，反映半导体主线内部由前期相对拥挤的存储方向向上游材料再平衡；存储方向受海外龙头财报与股价波动共振、短期承压，更偏情绪与估值层面的调整，产业链真实景气趋势尚未出现逆转信号。</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逆势走强、国证芯片跌幅显著小于三大股指，资金在大盘普跌中向硅片、先进封装及算力芯片等自主创新与涨价确定性方向集中，建议保持关注这一内部再平衡过程所反映的结构性机会；硅片龙头年内第二轮提价持续落地、高端专用硅片涨幅居前，量价齐升逻辑较为清晰，可结合下游需求与产能扩张进展审慎评估；存储方向受海外龙头财报与股价波动共振、短期承压，国产替代与产业景气中长期逻辑仍需结合后续算力需求变化审慎评估；消费电子、PCB等方向短期表现偏弱，可留意板块内部轮动与中报业绩验证进展；当前大盘失守4000点、市场情绪偏谨慎、外围科技股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