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电子半导体行情点评（7月8日）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A股三大股指震荡回调。</w:t>
      </w:r>
      <w:r>
        <w:rPr>
          <w:rFonts w:ascii="楷体" w:eastAsia="楷体" w:hAnsi="楷体" w:cs="楷体"/>
        </w:rPr>
        <w:t xml:space="preserve">沪指收盘下跌19.36点，跌幅：0.49%，报3970.88点；深指收盘下跌285.39点，跌幅：1.87%，报14939.73点；创业板指数收盘下跌66.56点，跌幅：1.70%，报3845.35点；国证芯片（980017）指数收盘下跌170.28点，跌幅：0.77%，报21833.91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半导体板块震荡分化。</w:t>
      </w:r>
      <w:r>
        <w:rPr>
          <w:rFonts w:ascii="楷体" w:eastAsia="楷体" w:hAnsi="楷体" w:cs="楷体"/>
        </w:rPr>
        <w:t xml:space="preserve">早盘市场探底回升，科创50一度涨超3%，算力与芯片方向带动科技情绪修复，灿芯股份、瑞芯微涨停，华虹宏力盘中涨超10%并创阶段新高；存储芯片概念同步活跃，精测电子、复旦微电、精智达、长川科技等跟涨，苹果测试长鑫存储芯片的消息提升国产存储关注度。盘中半导体设备材料方向维持较强韧性，联动科技、华峰测控、中科飞测等设备股表现活跃，硅材料方向则受沪硅产业股东减持计划扰动，分化有所加大。截至收盘，PCB板块走弱、消费电子板块明显回调、半导体设计板块震荡偏强、半导体设备材料板块上涨，国证芯片指数跌幅小于深指与创业板指。今日走势显示资金仍在科技主线内部寻找确定性，设备材料和国产存储承接了更多主动配置需求，而前期涨幅较大的消费电子、PCB方向进入节奏调整。外围半导体波动与A股指数回落并未改变国产算力、设备材料、存储替代的产业逻辑，但短线更强调业绩验证和细分景气的匹配度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呈现指数承压、结构仍有韧性的特征，建议保持关注设备材料、国产存储、先进封装及算力芯片等景气度较高方向；消费电子、PCB等方向短期波动加大，可结合中报业绩、订单兑现和价格变化审慎评估；当前市场成交仍处高位但指数波动加剧，宜结合自身风险偏好关注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