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电子半导体行情点评（7月9日）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A股三大股指强势反弹。</w:t>
      </w:r>
      <w:r>
        <w:rPr>
          <w:rFonts w:ascii="楷体" w:eastAsia="楷体" w:hAnsi="楷体" w:cs="楷体"/>
        </w:rPr>
        <w:t xml:space="preserve">沪指收盘上涨65.71点，涨幅：1.65%，报4036.59点；深指收盘上涨459.00点，涨幅：3.07%，报15398.73点；创业板指数收盘上涨172.82点，涨幅：4.49%，报4018.17点；国证芯片（980017）指数收盘上涨2041.00点，涨幅：9.35%，报23874.91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半导体板块全线爆发。</w:t>
      </w:r>
      <w:r>
        <w:rPr>
          <w:rFonts w:ascii="楷体" w:eastAsia="楷体" w:hAnsi="楷体" w:cs="楷体"/>
        </w:rPr>
        <w:t xml:space="preserve">早盘市场一度分化，午后科技主线快速放量上攻，科创50指数大涨8.41%，带动芯片产业链成为全市场最强方向。长鑫科技启动科创板发行安排，直接强化国产存储与先进封装预期，兆易创新、长电科技、通富微电、华天科技、有研新材等多股涨停，中芯国际盘中大涨并刷新市值表现；GPU、内存芯片、半导体硅片、先进封装、设备材料等方向共振走强，多只半导体主题ETF接近或封住涨停。截至收盘，国证芯片指数大幅跑赢三大股指，159516、512760等芯片相关ETF涨幅接近10%，显示资金从前期局部题材重新扩散到产业链主线。今日行情的核心不是单一消息刺激，而是国产存储IPO、AI算力需求、设备材料国产化和高成交额共同形成的风险偏好修复；但个股分化仍在，旅游、能源金属、煤炭等方向偏弱，说明市场并未全面普涨，资金仍更偏向景气确定性和流动性承接较强的科技资产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今日量价共振明显，建议继续关注国产存储、先进封装、算力芯片、设备材料等景气方向，但指数单日涨幅较大后不宜追高集中配置；短期可结合中报业绩、订单兑现、产业催化持续性和ETF资金流向观察承接强度。若后续成交维持高位且核心龙头不快速回落，科技主线仍有继续扩散机会；若放量后次日分化加剧，则应更重视仓位节奏和高位个股波动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