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电子半导体行情点评（7月14日）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A股三大股指V型反弹。</w:t>
      </w:r>
      <w:r>
        <w:rPr>
          <w:rFonts w:ascii="楷体" w:eastAsia="楷体" w:hAnsi="楷体" w:cs="楷体"/>
        </w:rPr>
        <w:t xml:space="preserve">沪指收盘上涨53.33点，涨幅：1.36%，报3967.13点；深指收盘上涨402.01点，涨幅：2.77%，报14924.87点；创业板指数收盘上涨127.62点，涨幅：3.43%，报3851.14点；国证芯片（980017）指数收盘上涨387.59点，涨幅：1.81%，报21802.27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半导体板块先抑后扬。</w:t>
      </w:r>
      <w:r>
        <w:rPr>
          <w:rFonts w:ascii="楷体" w:eastAsia="楷体" w:hAnsi="楷体" w:cs="楷体"/>
        </w:rPr>
        <w:t xml:space="preserve">早盘受隔夜海外芯片股走弱与亚太市场波动影响，板块延续前一交易日调整，上海合晶、华海清科一度跌超10%，三大指数半日收跌。午后随存储龙头SK海力士股价V型反弹，A股存储方向快速走强，气派科技20CM涨停，生益科技、广合科技、博杰股份涨停，雅创电子涨超10%，北京君正、香农芯创、兆易创新、佰维存储等纷纷跟涨；通用DRAM合约价格环比上行约60%，存储涨价逻辑获得产业数据的进一步验证，PCB概念同步全面走强，CPO方向涨幅居前，全市场超4200只个股上涨。截至收盘，PCB大幅走强、消费电子大涨、半导体设计小幅上涨、半导体设备材料窄幅震荡，板块重心整体回升。今日探底回升发生在全球AI链共振调整之后，存储涨价的产业事实成为资金承接的核心抓手，反弹更多由基本面验证驱动而非单纯的超跌修复；板块内部资金向存储、PCB等涨价弹性更直接的方向积极轮动，晶圆代工环节正从“抢客户”的买方市场向“供应商主导定价”的卖方市场转变，涨价链条的盈利传导有望在中报季得到进一步确认；随着中报窗口临近，业绩兑现能力将逐步成为板块内部定价的主导变量，具备真实涨价与订单支撑的细分环节有望率先走出独立行情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今日先抑后扬，存储涨价与AI算力需求仍是市场关注的主线方向，建议保持关注国产存储、先进封装、PCB、设备材料等景气环节，结合中报业绩兑现节奏审慎评估；外围半导体股价波动仍存，可留意海外市场企稳情况与板块成交量能的持续性，关注市场结构变化；单日波动加大背景下，宜结合自身风险偏好留意核心龙头的承接强度，避免过度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