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30-year</w:t>
      </w:r>
      <w:r>
        <w:t xml:space="preserve"> </w:t>
      </w:r>
      <w:r>
        <w:t xml:space="preserve">predicted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</w:t>
      </w:r>
      <w:r>
        <w:t xml:space="preserve"> </w:t>
      </w:r>
      <w:r>
        <w:t xml:space="preserve">risk</w:t>
      </w:r>
      <w:r>
        <w:t xml:space="preserve"> </w:t>
      </w:r>
      <w:r>
        <w:t xml:space="preserve">and</w:t>
      </w:r>
      <w:r>
        <w:t xml:space="preserve"> </w:t>
      </w:r>
      <w:r>
        <w:t xml:space="preserve">incident</w:t>
      </w:r>
      <w:r>
        <w:t xml:space="preserve"> </w:t>
      </w:r>
      <w:r>
        <w:t xml:space="preserve">hypertension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1: Participant characteristics.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>
        <w:trPr>
          <w:trHeight w:val="82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1230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613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225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392 (32%)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(7.0)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(5)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10-year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30-year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(8.5)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at visit 2 or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at visit 3, g/m2.7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hypertrophy at visit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and PREVENT = predicting risk of cardiovascular disease events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mean (standard deviation) or percent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was indexed to height, and left ventricular hypertrophy was indicated by mass &gt; 45.1 g/m2.7 for men and mass &gt; 38 g/m2.7 for women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Distribution of PREVENT 10- and 30-year predicted risk for cardiovascular disease.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category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of participants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(22)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(45)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(28)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(100)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with hypertension at visit 2 or visit 3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 mass mean (% with LV hypertrophy)  at visit 3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(9.4)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(8.5)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(2.5)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(0.00)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 (--)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(0.00)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LV = left ventricular; and PREVENT = predicting risk of cardiovascular disease events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3: Hazard ratios (95% confidence intervals) for incident hypertension at visit 2 or 3 based on predicted 30-year cardiovascular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(1.04, 1.83)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(0.91, 1.27)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(1.32, 2.02)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(0.87, 1.92)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(0.45, 1.53)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(0.99, 2.20)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(1.47, 2.44)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(0.89, 2.48)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(0.50, 2.33)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(0.83, 2.06)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(2.02, 4.45)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(0.03, 707.74)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(0.52, 6.58)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(0.83, 2.72)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4A: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developed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(-0.36, 1.90)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(-2.12, 2.55)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(-1.45, 3.51)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(-0.90, 2.31)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(-2.86, 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(-6.71, 0.86)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(-6.30, 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(-2.87, 4.02)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(-1.03, 3.97)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(-4.10, 5.03)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(-0.53, 8.83)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(-3.41, 4.71)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(-2.45, 5.85)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(-4.96, 12.84)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(-14.58, 3.58)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(-3.12, 8.28)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4B: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did not develop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(-0.20, 2.34)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(-0.77, 5.65)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(-2.28, 2.01)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(-0.55, 2.55)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(-0.63, 3.15)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(-7.01, 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(-2.02, 7.09)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(-0.87, 3.33)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(-2.03, 3.52)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(-2.94, 9.54)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(-4.79, 4.56)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16.61)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(3.47, 27.40)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(-12.15, 12.44)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(0.51, 1.50)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(0.49, 2.72)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(0.90, 5.65)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(0.19, 1.30)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(0.17, 1.04)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(0.18, 2.36)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(0.36, 2.16)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(0.30, 3.35)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(0.03, 2.50)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(0.07, 3.74)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(0.29, 9.42)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(1.29, 20.00)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10-year cardiovascular disease risk &lt;10% at visit 1.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S1: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S2A: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developed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(0.35, 1.55)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(-1.15, 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(-0.59, 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(0.14, 1.86)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(-1.56, 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(-3.95, -0.07)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(-3.50, 1.65)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(-1.19, 2.44)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 2.63)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(-2.88,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5.11)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(-0.71, 3.25)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(0.30, 4.89)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(-2.02, 9.61)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(-5.00, 4.57)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(0.18, 6.29)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had incident hypertension by visit 3,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S2B: Expected left ventricular mass (95% confidence interval) at visit 3 based on predicted 30-year cardiovascular disease risk at visit 1 for participants who</w:t>
      </w:r>
      <w:r>
        <w:t xml:space="preserve"> </w:t>
      </w:r>
      <w:r>
        <w:rPr>
          <w:iCs/>
          <w:i/>
        </w:rPr>
        <w:t xml:space="preserve">did not develop</w:t>
      </w:r>
      <w:r>
        <w:t xml:space="preserve"> </w:t>
      </w:r>
      <w:r>
        <w:t xml:space="preserve">hypertension between visit 1 and visit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(0.77, 2.09)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(0.49, 2.26)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(-0.37, 3.39)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(-1.73, 1.08)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Differences 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(0.11, 2.15)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(-0.60, 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(-3.91, 1.43)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4.75)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(0.42, 3.17)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(-0.39, 3.21)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(-0.96, 6.45)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(-3.24, 2.65)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(0.27, 9.16)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(4.23, 18.12)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(-13.92, 8.71)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(-7.94, 4.73)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3, did not have incident hypertension by visit 3,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S3: Prevalence ratios (95% confidence interval) for left ventricular hypertrophy at visit 3 based on predicted 30-year cardiovascular disease risk at visit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 risk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groups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 10%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(0.66, 1.62)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(0.44, 2.88)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(0.62, 3.99)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(0.45, 1.80)</w:t>
            </w:r>
          </w:p>
        </w:tc>
      </w:tr>
      <w:tr>
        <w:trPr>
          <w:trHeight w:val="360" w:hRule="auto"/>
        </w:trPr>
        body2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 risk categories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(0.25, 1.33)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(0.26, 3.43)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(0.35, 2.17)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(0.29, 3.77)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(0.10, 2.81)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(0.37, 4.29)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(0.30, 15.00)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(0.13, 10.51)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presented for participants who did not have stroke or coronary heart disease event from visit 1 to visit 3 and had predicted 10-year cardiovascular disease risk &lt;10% at visit 1.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are based on multiple imputation using chained equations to account for missing values of left ventricular mass index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Association between 30-year predicted cardiovascular disease risk and incident hypertension</dc:title>
  <dc:creator/>
  <cp:keywords/>
  <dcterms:created xsi:type="dcterms:W3CDTF">2024-06-13T01:58:59Z</dcterms:created>
  <dcterms:modified xsi:type="dcterms:W3CDTF">2024-06-12T21:58:59Z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