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JHS</w:t>
      </w:r>
      <w:r>
        <w:t xml:space="preserve"> </w:t>
      </w:r>
      <w:r>
        <w:t xml:space="preserve">manuscript</w:t>
      </w:r>
      <w:r>
        <w:t xml:space="preserve"> </w:t>
      </w:r>
      <w:r>
        <w:t xml:space="preserve">proposal</w:t>
      </w:r>
      <w:r>
        <w:t xml:space="preserve"> </w:t>
      </w:r>
      <w:r>
        <w:t xml:space="preserve">content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Start w:id="20" w:name="context"/>
    <w:p>
      <w:pPr>
        <w:pStyle w:val="Heading2"/>
      </w:pPr>
      <w:r>
        <w:t xml:space="preserve">Context</w:t>
      </w:r>
    </w:p>
    <w:p>
      <w:pPr>
        <w:pStyle w:val="FirstParagraph"/>
      </w:pPr>
      <w:r>
        <w:t xml:space="preserve">Guidelines recommend using blood pressure (BP) and cardiovascular disease (CVD) risk to guide the decision to initiate antihypertensive medication. In the 2017 ACC/AHA BP guideline, adults with stage 1 hypertension and 10-year atherosclerotic CVD risk ≥ 10% were recommended to initiate antihypertensive medication. The AHA recently introduced equations for estimating 30-year risk of total CVD for adults 30 to 60 years of age. A high percentage of adults 30 to &lt;60 years of age without hypertension have low (&lt;10%) 10-year total CVD risk and high (≥30%) 30-year total CVD risk. It is unclear whether adults without hypertension with low 10-year predicted total CVD risk but high 30-year predicted total CVD risk should initiate antihypertensive medication. We hypothesize that the incidence of hypertension will be higher among black adults with high 30-year predicted total CVD risk and that there will be evidence of sub-clinical CVD among adults with high 30-year predicted total CVD risk when they develop hypertension. This may support the decision to initiate antihypertensive medication among adults with high 30-year predicted total CVD risk before they develop hypertension.</w:t>
      </w:r>
    </w:p>
    <w:bookmarkEnd w:id="20"/>
    <w:bookmarkStart w:id="21" w:name="aims"/>
    <w:p>
      <w:pPr>
        <w:pStyle w:val="Heading2"/>
      </w:pPr>
      <w:r>
        <w:t xml:space="preserve">Aims</w:t>
      </w:r>
    </w:p>
    <w:p>
      <w:pPr>
        <w:numPr>
          <w:ilvl w:val="0"/>
          <w:numId w:val="1001"/>
        </w:numPr>
      </w:pPr>
      <w:r>
        <w:t xml:space="preserve">Describe the distribution of adults without hypertension according to 10-year and 30-year total cardiovascular disease risk.</w:t>
      </w:r>
    </w:p>
    <w:p>
      <w:pPr>
        <w:numPr>
          <w:ilvl w:val="1"/>
          <w:numId w:val="1002"/>
        </w:numPr>
        <w:pStyle w:val="Compact"/>
      </w:pPr>
      <w:r>
        <w:t xml:space="preserve">Sub-aim: Describe the distribution of these groups by blood pressure categories.</w:t>
      </w:r>
    </w:p>
    <w:p>
      <w:pPr>
        <w:numPr>
          <w:ilvl w:val="0"/>
          <w:numId w:val="1001"/>
        </w:numPr>
      </w:pPr>
      <w:r>
        <w:t xml:space="preserve">Estimate the association between total CVD risk and incident hypertension.</w:t>
      </w:r>
    </w:p>
    <w:p>
      <w:pPr>
        <w:numPr>
          <w:ilvl w:val="0"/>
          <w:numId w:val="1001"/>
        </w:numPr>
      </w:pPr>
      <w:r>
        <w:t xml:space="preserve">Estimate the association between total CVD risk and incident cardiovascular disease.</w:t>
      </w:r>
    </w:p>
    <w:p>
      <w:pPr>
        <w:numPr>
          <w:ilvl w:val="1"/>
          <w:numId w:val="1003"/>
        </w:numPr>
      </w:pPr>
      <w:r>
        <w:t xml:space="preserve">Estimate the incidence of CVD between visit 1 and visit 3.</w:t>
      </w:r>
    </w:p>
    <w:p>
      <w:pPr>
        <w:numPr>
          <w:ilvl w:val="1"/>
          <w:numId w:val="1003"/>
        </w:numPr>
      </w:pPr>
      <w:r>
        <w:t xml:space="preserve">Among participants who did not develop CVD between visit 1 and visit 3, estimate the incidence of sub-clinical CVD based on left-ventricular hypertrophy (LVH)</w:t>
      </w:r>
    </w:p>
    <w:p>
      <w:pPr>
        <w:numPr>
          <w:ilvl w:val="1"/>
          <w:numId w:val="1003"/>
        </w:numPr>
      </w:pPr>
      <w:r>
        <w:t xml:space="preserve">Compare left-ventricular mass index (LVMI) and LVH among people who developed and did not develop hypertension.</w:t>
      </w:r>
    </w:p>
    <w:bookmarkEnd w:id="21"/>
    <w:bookmarkStart w:id="22" w:name="questions-and-options"/>
    <w:p>
      <w:pPr>
        <w:pStyle w:val="Heading2"/>
      </w:pPr>
      <w:r>
        <w:t xml:space="preserve">Questions and options</w:t>
      </w:r>
    </w:p>
    <w:p>
      <w:pPr>
        <w:pStyle w:val="FirstParagraph"/>
      </w:pPr>
      <w:r>
        <w:t xml:space="preserve">Do we need to consider LVMI and LVH at Visit 1? Should we just focus on this at a follow-up assessment?</w:t>
      </w:r>
    </w:p>
    <w:p>
      <w:pPr>
        <w:pStyle w:val="BodyText"/>
      </w:pPr>
      <w:r>
        <w:t xml:space="preserve">We have the option of including additional cohorts:</w:t>
      </w:r>
    </w:p>
    <w:p>
      <w:pPr>
        <w:numPr>
          <w:ilvl w:val="0"/>
          <w:numId w:val="1004"/>
        </w:numPr>
        <w:pStyle w:val="Compact"/>
      </w:pPr>
      <w:r>
        <w:t xml:space="preserve">Use JHS only (JHS has Echo @ V1 and MRI @ V3)</w:t>
      </w:r>
    </w:p>
    <w:p>
      <w:pPr>
        <w:numPr>
          <w:ilvl w:val="0"/>
          <w:numId w:val="1004"/>
        </w:numPr>
        <w:pStyle w:val="Compact"/>
      </w:pPr>
      <w:r>
        <w:t xml:space="preserve">Use JHS + REGARDS (JHS has ECG @ V1 and V3, REGARDS has ECG @ V1 and V2)</w:t>
      </w:r>
    </w:p>
    <w:p>
      <w:pPr>
        <w:numPr>
          <w:ilvl w:val="0"/>
          <w:numId w:val="1004"/>
        </w:numPr>
        <w:pStyle w:val="Compact"/>
      </w:pPr>
      <w:r>
        <w:t xml:space="preserve">Use JHS + CARDIA (CARDIA has Echo @ Y25 and Y30)</w:t>
      </w:r>
    </w:p>
    <w:p>
      <w:pPr>
        <w:pStyle w:val="FirstParagraph"/>
      </w:pPr>
      <w:r>
        <w:t xml:space="preserve">Why not all three cohorts? We may not have enough time to prepare all three, but it’s worth discussing.</w:t>
      </w:r>
    </w:p>
    <w:p>
      <w:r>
        <w:br w:type="page"/>
      </w:r>
    </w:p>
    <w:p>
      <w:pPr>
        <w:pStyle w:val="BodyText"/>
      </w:pPr>
      <w:r>
        <w:t xml:space="preserve">Table 1: Jackson Heart Study participants included in the current analysis.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No. of participants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JHS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5,306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30 to &lt; 60 years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3,067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Consented to CVD follow-up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2,953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 history of CVD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2,943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Have information on self-reported antihypertensive medication use and blood pressure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2,882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Have information on other variables in the PCEs and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2,608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 variables in range for PREVENT equations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2,489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Without hypertension at visit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1,388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With hypertension status known at visit 2 or visit 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2: Number of Jackson Heart Study participants in groups defined by blood pressure and total cardiovascular disease risk.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PREVENT CVD risk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1,230)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Normal blood pressure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613)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Elevated blood pressure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225)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Stage 1 hypertension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 = 392)</w:t>
            </w:r>
          </w:p>
        </w:tc>
      </w:tr>
      <w:tr>
        <w:trPr>
          <w:trHeight w:val="360" w:hRule="auto"/>
        </w:trPr>
        body 1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10-year total CVD risk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4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30-year total CVD risk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9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30-year total CVD risk among those with 10- year total CVD risk &lt;10%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10% to &lt;20%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20% to &lt;30%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≥30%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</w:tr>
    </w:tbl>
    <w:bookmarkEnd w:id="22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JHS manuscript proposal content</dc:title>
  <dc:creator/>
  <cp:keywords/>
  <dcterms:created xsi:type="dcterms:W3CDTF">2024-06-04T14:57:08Z</dcterms:created>
  <dcterms:modified xsi:type="dcterms:W3CDTF">2024-06-04T10:57:08Z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