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EF819" w14:textId="77777777" w:rsidR="00E11301" w:rsidRDefault="00E02C64">
      <w:pPr>
        <w:pStyle w:val="Title"/>
      </w:pPr>
      <w:r>
        <w:t>JHS manuscript proposal content</w:t>
      </w:r>
    </w:p>
    <w:p w14:paraId="6CF0BB42" w14:textId="77777777" w:rsidR="00E11301" w:rsidRDefault="00E02C64">
      <w:pPr>
        <w:pStyle w:val="FirstParagraph"/>
      </w:pPr>
      <w:r>
        <w:t xml:space="preserve">        </w:t>
      </w:r>
    </w:p>
    <w:p w14:paraId="6A4CCD8F" w14:textId="77777777" w:rsidR="00E11301" w:rsidRDefault="00E02C64">
      <w:pPr>
        <w:pStyle w:val="Heading2"/>
      </w:pPr>
      <w:bookmarkStart w:id="0" w:name="context"/>
      <w:r>
        <w:t>Context</w:t>
      </w:r>
    </w:p>
    <w:p w14:paraId="1F76C716" w14:textId="687975F1" w:rsidR="00E11301" w:rsidRDefault="00E02C64">
      <w:pPr>
        <w:pStyle w:val="FirstParagraph"/>
      </w:pPr>
      <w:r>
        <w:t xml:space="preserve">Guidelines recommend using blood pressure (BP) and cardiovascular disease (CVD) risk to guide the decision to initiate antihypertensive medication. In the 2017 ACC/AHA BP guideline, adults with stage 1 hypertension and 10-year atherosclerotic CVD risk ≥ 10% were recommended to initiate antihypertensive medication. The AHA recently introduced equations for estimating 30-year risk of total CVD for adults 30 to 60 years of age. </w:t>
      </w:r>
      <w:r w:rsidR="00F0678D">
        <w:t xml:space="preserve">In a recent NHANES paper, we estimated the mean 30-year total CVD risk was </w:t>
      </w:r>
      <w:r>
        <w:t xml:space="preserve">high </w:t>
      </w:r>
      <w:r w:rsidR="00F0678D">
        <w:t>among</w:t>
      </w:r>
      <w:r>
        <w:t xml:space="preserve"> adults 30 to &lt;60 years of age </w:t>
      </w:r>
      <w:r w:rsidR="00F0678D">
        <w:t>with stage 1 hypertension and</w:t>
      </w:r>
      <w:r>
        <w:t xml:space="preserve"> 10-year total CVD risk</w:t>
      </w:r>
      <w:r w:rsidR="00F0678D">
        <w:t xml:space="preserve"> &lt;10%</w:t>
      </w:r>
      <w:r>
        <w:t xml:space="preserve">. It is unclear whether adults without hypertension with low 10-year predicted total CVD </w:t>
      </w:r>
      <w:proofErr w:type="gramStart"/>
      <w:r>
        <w:t>risk</w:t>
      </w:r>
      <w:proofErr w:type="gramEnd"/>
      <w:r>
        <w:t xml:space="preserve"> but high 30-year predicted total CVD risk should initiate antihypertensive medication. We hypothesize that the incidence of hypertension will be higher among black adults with high</w:t>
      </w:r>
      <w:r w:rsidR="00F0678D">
        <w:t>er</w:t>
      </w:r>
      <w:r>
        <w:t xml:space="preserve"> 30-year predicted total CVD risk and that there will be evidence of sub-clinical CVD among adults with high 30-year predicted total CVD risk when they develop hypertension. This may </w:t>
      </w:r>
      <w:r w:rsidR="00F0678D">
        <w:t xml:space="preserve">provide information on </w:t>
      </w:r>
      <w:r>
        <w:t>the decision to initiate antihypertensive medication among adults with high 30-year predicted total CVD risk before they develop hypertension.</w:t>
      </w:r>
    </w:p>
    <w:p w14:paraId="2AC04C31" w14:textId="77777777" w:rsidR="00E11301" w:rsidRDefault="00E02C64">
      <w:pPr>
        <w:pStyle w:val="Heading2"/>
      </w:pPr>
      <w:bookmarkStart w:id="1" w:name="aims"/>
      <w:bookmarkEnd w:id="0"/>
      <w:r>
        <w:t>Aims</w:t>
      </w:r>
    </w:p>
    <w:p w14:paraId="2DA52094" w14:textId="38702E51" w:rsidR="00E11301" w:rsidRDefault="00E02C64" w:rsidP="00F33A04">
      <w:pPr>
        <w:numPr>
          <w:ilvl w:val="0"/>
          <w:numId w:val="13"/>
        </w:numPr>
      </w:pPr>
      <w:r>
        <w:t>Describe the distribution of 10-year and 30-year total cardiovascular disease risk</w:t>
      </w:r>
      <w:r w:rsidR="00F0678D" w:rsidRPr="00F0678D">
        <w:t xml:space="preserve"> </w:t>
      </w:r>
      <w:r w:rsidR="00F0678D">
        <w:t>among adults without hypertension</w:t>
      </w:r>
      <w:r>
        <w:t>.</w:t>
      </w:r>
      <w:r w:rsidR="00F0678D">
        <w:t xml:space="preserve"> Th</w:t>
      </w:r>
      <w:r>
        <w:t>e</w:t>
      </w:r>
      <w:r w:rsidR="00F0678D">
        <w:t>se</w:t>
      </w:r>
      <w:r>
        <w:t xml:space="preserve"> distribution</w:t>
      </w:r>
      <w:r w:rsidR="00F0678D">
        <w:t>s</w:t>
      </w:r>
      <w:r>
        <w:t xml:space="preserve"> </w:t>
      </w:r>
      <w:r w:rsidR="00F0678D">
        <w:t xml:space="preserve">will be estimated for all adults without hypertension and for those with normal BP, elevated </w:t>
      </w:r>
      <w:proofErr w:type="gramStart"/>
      <w:r w:rsidR="00F0678D">
        <w:t>BP</w:t>
      </w:r>
      <w:proofErr w:type="gramEnd"/>
      <w:r w:rsidR="00F0678D">
        <w:t xml:space="preserve"> and stage 1 hypertension. </w:t>
      </w:r>
    </w:p>
    <w:p w14:paraId="32DFA49C" w14:textId="77777777" w:rsidR="00E11301" w:rsidRDefault="00E02C64">
      <w:pPr>
        <w:numPr>
          <w:ilvl w:val="0"/>
          <w:numId w:val="13"/>
        </w:numPr>
      </w:pPr>
      <w:r>
        <w:t xml:space="preserve">Estimate the association between </w:t>
      </w:r>
      <w:r w:rsidR="00F0678D">
        <w:t xml:space="preserve">30-year </w:t>
      </w:r>
      <w:r>
        <w:t>total CVD risk and incident hypertension.</w:t>
      </w:r>
    </w:p>
    <w:p w14:paraId="48BABC27" w14:textId="77777777" w:rsidR="00E11301" w:rsidRDefault="00E02C64">
      <w:pPr>
        <w:numPr>
          <w:ilvl w:val="0"/>
          <w:numId w:val="13"/>
        </w:numPr>
      </w:pPr>
      <w:r>
        <w:t xml:space="preserve">Estimate the association between </w:t>
      </w:r>
      <w:r w:rsidR="00F0678D">
        <w:t xml:space="preserve">30-year </w:t>
      </w:r>
      <w:r>
        <w:t>total CVD risk and incident cardiovascular disease.</w:t>
      </w:r>
    </w:p>
    <w:p w14:paraId="3ED108F2" w14:textId="77777777" w:rsidR="00E11301" w:rsidRDefault="00E02C64">
      <w:pPr>
        <w:numPr>
          <w:ilvl w:val="1"/>
          <w:numId w:val="15"/>
        </w:numPr>
      </w:pPr>
      <w:r>
        <w:t>Estimate the incidence of CVD between visit 1 and visit 3.</w:t>
      </w:r>
    </w:p>
    <w:p w14:paraId="74511184" w14:textId="32BECCDF" w:rsidR="00E11301" w:rsidRDefault="00E02C64">
      <w:pPr>
        <w:numPr>
          <w:ilvl w:val="1"/>
          <w:numId w:val="15"/>
        </w:numPr>
      </w:pPr>
      <w:r>
        <w:t xml:space="preserve">Among participants who did not develop CVD between visit 1 and visit 3, estimate </w:t>
      </w:r>
      <w:r w:rsidR="00F0678D">
        <w:t xml:space="preserve">left-ventricular mass index (LVMI) and </w:t>
      </w:r>
      <w:r>
        <w:t xml:space="preserve">the </w:t>
      </w:r>
      <w:r w:rsidR="00F0678D">
        <w:t xml:space="preserve">prevalence </w:t>
      </w:r>
      <w:r>
        <w:t>of sub-clinical CVD based on left-ventricular hypertrophy (LVH)</w:t>
      </w:r>
      <w:r w:rsidR="00F0678D">
        <w:t xml:space="preserve"> at visit 3 among those who did and did not develop </w:t>
      </w:r>
      <w:proofErr w:type="gramStart"/>
      <w:r w:rsidR="00F0678D">
        <w:t>hypertension</w:t>
      </w:r>
      <w:proofErr w:type="gramEnd"/>
    </w:p>
    <w:p w14:paraId="6519DA7B" w14:textId="77777777" w:rsidR="00E11301" w:rsidRDefault="00E02C64">
      <w:pPr>
        <w:numPr>
          <w:ilvl w:val="1"/>
          <w:numId w:val="15"/>
        </w:numPr>
      </w:pPr>
      <w:r>
        <w:lastRenderedPageBreak/>
        <w:t>Compare left-ventricular mass index (LVMI) and LVH among people who developed and did not develop hypertension.</w:t>
      </w:r>
    </w:p>
    <w:p w14:paraId="2BDF7F52" w14:textId="77777777" w:rsidR="00E11301" w:rsidRDefault="00E02C64">
      <w:pPr>
        <w:pStyle w:val="Heading2"/>
      </w:pPr>
      <w:bookmarkStart w:id="2" w:name="questions-and-options"/>
      <w:bookmarkEnd w:id="1"/>
      <w:r>
        <w:t>Questions and options</w:t>
      </w:r>
    </w:p>
    <w:p w14:paraId="458ED6BE" w14:textId="77777777" w:rsidR="00F33A04" w:rsidRDefault="00F33A04">
      <w:pPr>
        <w:pStyle w:val="FirstParagraph"/>
      </w:pPr>
      <w:r w:rsidRPr="00F33A04">
        <w:t>Should we look at albuminuria (ACR)?</w:t>
      </w:r>
    </w:p>
    <w:p w14:paraId="38243013" w14:textId="717C3875" w:rsidR="00E11301" w:rsidRDefault="00E02C64">
      <w:pPr>
        <w:pStyle w:val="FirstParagraph"/>
      </w:pPr>
      <w:r>
        <w:t>Do we need to consider LVMI and LVH at Visit 1? Should we just focus on this at a follow-up assessment?</w:t>
      </w:r>
    </w:p>
    <w:p w14:paraId="5F552716" w14:textId="77777777" w:rsidR="00E11301" w:rsidRDefault="00E02C64">
      <w:pPr>
        <w:pStyle w:val="BodyText"/>
      </w:pPr>
      <w:r>
        <w:t>We have the option of including additional cohorts:</w:t>
      </w:r>
    </w:p>
    <w:p w14:paraId="60C95D31" w14:textId="46653647" w:rsidR="00E11301" w:rsidRDefault="00E02C64">
      <w:pPr>
        <w:pStyle w:val="Compact"/>
        <w:numPr>
          <w:ilvl w:val="0"/>
          <w:numId w:val="16"/>
        </w:numPr>
      </w:pPr>
      <w:r>
        <w:t>Use JHS only (JHS has Echo @ V1 and MRI @ V3)</w:t>
      </w:r>
      <w:r w:rsidR="00F33A04">
        <w:t xml:space="preserve">. </w:t>
      </w:r>
      <w:r w:rsidR="00F33A04" w:rsidRPr="00F33A04">
        <w:t>we may have sufficient sample size in JHS (see overall column below and for those with stage 1 hypertension)</w:t>
      </w:r>
    </w:p>
    <w:p w14:paraId="280917B7" w14:textId="77777777" w:rsidR="00E11301" w:rsidRDefault="00E02C64">
      <w:pPr>
        <w:pStyle w:val="Compact"/>
        <w:numPr>
          <w:ilvl w:val="0"/>
          <w:numId w:val="16"/>
        </w:numPr>
      </w:pPr>
      <w:r>
        <w:t>Use JHS + REGARDS (JHS has ECG @ V1 and V3, REGARDS has ECG @ V1 and V2)</w:t>
      </w:r>
    </w:p>
    <w:p w14:paraId="7FDF8511" w14:textId="77777777" w:rsidR="00E11301" w:rsidRDefault="00E02C64">
      <w:pPr>
        <w:pStyle w:val="Compact"/>
        <w:numPr>
          <w:ilvl w:val="0"/>
          <w:numId w:val="16"/>
        </w:numPr>
      </w:pPr>
      <w:r>
        <w:t xml:space="preserve">Use JHS + CARDIA (CARDIA has Echo @ </w:t>
      </w:r>
      <w:r w:rsidR="004F313F">
        <w:t xml:space="preserve">Y5, </w:t>
      </w:r>
      <w:r>
        <w:t>Y25 and Y30)</w:t>
      </w:r>
    </w:p>
    <w:p w14:paraId="66FFCF8D" w14:textId="4B79E074" w:rsidR="00E11301" w:rsidRDefault="00E11301"/>
    <w:p w14:paraId="6D56E932" w14:textId="77777777" w:rsidR="00F33A04" w:rsidRDefault="00F33A04">
      <w:r>
        <w:br w:type="page"/>
      </w:r>
    </w:p>
    <w:p w14:paraId="7ECA35A0" w14:textId="083ED3FB" w:rsidR="00E11301" w:rsidRDefault="00E02C64">
      <w:pPr>
        <w:pStyle w:val="BodyText"/>
      </w:pPr>
      <w:r>
        <w:lastRenderedPageBreak/>
        <w:t>Table 1: Jackson Heart Study participants included in the current analysis.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5760"/>
        <w:gridCol w:w="2160"/>
      </w:tblGrid>
      <w:tr w:rsidR="00E11301" w14:paraId="486B2643" w14:textId="77777777">
        <w:trPr>
          <w:tblHeader/>
          <w:jc w:val="center"/>
        </w:trPr>
        <w:tc>
          <w:tcPr>
            <w:tcW w:w="57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8406D" w14:textId="77777777" w:rsidR="00E11301" w:rsidRDefault="00E02C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Times New Roman" w:cs="Times New Roman"/>
                <w:b/>
                <w:color w:val="000000"/>
              </w:rPr>
              <w:t>Inclusion criteria</w:t>
            </w:r>
          </w:p>
        </w:tc>
        <w:tc>
          <w:tcPr>
            <w:tcW w:w="21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C4E78" w14:textId="77777777" w:rsidR="00E11301" w:rsidRDefault="00E02C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Times New Roman" w:cs="Times New Roman"/>
                <w:b/>
                <w:color w:val="000000"/>
              </w:rPr>
              <w:t>No. of participants</w:t>
            </w:r>
          </w:p>
        </w:tc>
      </w:tr>
      <w:tr w:rsidR="00E11301" w14:paraId="171F2EC8" w14:textId="77777777">
        <w:trPr>
          <w:jc w:val="center"/>
        </w:trPr>
        <w:tc>
          <w:tcPr>
            <w:tcW w:w="57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7BBEB" w14:textId="77777777" w:rsidR="00E11301" w:rsidRDefault="00E02C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Times New Roman" w:cs="Times New Roman"/>
                <w:color w:val="000000"/>
              </w:rPr>
              <w:t>JHS participants</w:t>
            </w:r>
          </w:p>
        </w:tc>
        <w:tc>
          <w:tcPr>
            <w:tcW w:w="21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E10F92" w14:textId="77777777" w:rsidR="00E11301" w:rsidRDefault="00E02C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Times New Roman" w:cs="Times New Roman"/>
                <w:color w:val="000000"/>
              </w:rPr>
              <w:t>5,306</w:t>
            </w:r>
          </w:p>
        </w:tc>
      </w:tr>
      <w:tr w:rsidR="00E11301" w14:paraId="29A7AB6E" w14:textId="77777777">
        <w:trPr>
          <w:jc w:val="center"/>
        </w:trPr>
        <w:tc>
          <w:tcPr>
            <w:tcW w:w="57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5260DC" w14:textId="77777777" w:rsidR="00E11301" w:rsidRDefault="00E02C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Times New Roman" w:cs="Times New Roman"/>
                <w:color w:val="000000"/>
              </w:rPr>
              <w:t>Age 30 to &lt; 60 years at visit 1</w:t>
            </w:r>
          </w:p>
        </w:tc>
        <w:tc>
          <w:tcPr>
            <w:tcW w:w="21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AA639" w14:textId="77777777" w:rsidR="00E11301" w:rsidRDefault="00E02C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Times New Roman" w:cs="Times New Roman"/>
                <w:color w:val="000000"/>
              </w:rPr>
              <w:t>3,067</w:t>
            </w:r>
          </w:p>
        </w:tc>
      </w:tr>
      <w:tr w:rsidR="00E11301" w14:paraId="2A035513" w14:textId="77777777">
        <w:trPr>
          <w:jc w:val="center"/>
        </w:trPr>
        <w:tc>
          <w:tcPr>
            <w:tcW w:w="57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6862D2" w14:textId="77777777" w:rsidR="00E11301" w:rsidRDefault="00E02C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Times New Roman" w:cs="Times New Roman"/>
                <w:color w:val="000000"/>
              </w:rPr>
              <w:t>Consented to CVD follow-up at visit 1</w:t>
            </w:r>
          </w:p>
        </w:tc>
        <w:tc>
          <w:tcPr>
            <w:tcW w:w="21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3CD2E" w14:textId="77777777" w:rsidR="00E11301" w:rsidRDefault="00E02C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Times New Roman" w:cs="Times New Roman"/>
                <w:color w:val="000000"/>
              </w:rPr>
              <w:t>2,953</w:t>
            </w:r>
          </w:p>
        </w:tc>
      </w:tr>
      <w:tr w:rsidR="00E11301" w14:paraId="244DE93F" w14:textId="77777777">
        <w:trPr>
          <w:jc w:val="center"/>
        </w:trPr>
        <w:tc>
          <w:tcPr>
            <w:tcW w:w="57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37AF0" w14:textId="77777777" w:rsidR="00E11301" w:rsidRDefault="00E02C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Times New Roman" w:cs="Times New Roman"/>
                <w:color w:val="000000"/>
              </w:rPr>
              <w:t>No history of CVD at visit 1</w:t>
            </w:r>
          </w:p>
        </w:tc>
        <w:tc>
          <w:tcPr>
            <w:tcW w:w="21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F03C81" w14:textId="77777777" w:rsidR="00E11301" w:rsidRDefault="00E02C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Times New Roman" w:cs="Times New Roman"/>
                <w:color w:val="000000"/>
              </w:rPr>
              <w:t>2,943</w:t>
            </w:r>
          </w:p>
        </w:tc>
      </w:tr>
      <w:tr w:rsidR="00E11301" w14:paraId="0976C1E0" w14:textId="77777777">
        <w:trPr>
          <w:jc w:val="center"/>
        </w:trPr>
        <w:tc>
          <w:tcPr>
            <w:tcW w:w="57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F9DB32" w14:textId="77777777" w:rsidR="00E11301" w:rsidRDefault="00E02C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Times New Roman" w:cs="Times New Roman"/>
                <w:color w:val="000000"/>
              </w:rPr>
              <w:t>Have information on self-reported antihypertensive medication use and blood pressure at visit 1</w:t>
            </w:r>
          </w:p>
        </w:tc>
        <w:tc>
          <w:tcPr>
            <w:tcW w:w="21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AE7AE" w14:textId="77777777" w:rsidR="00E11301" w:rsidRDefault="00E02C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Times New Roman" w:cs="Times New Roman"/>
                <w:color w:val="000000"/>
              </w:rPr>
              <w:t>2,882</w:t>
            </w:r>
          </w:p>
        </w:tc>
      </w:tr>
      <w:tr w:rsidR="00E11301" w14:paraId="3CC3DFD6" w14:textId="77777777">
        <w:trPr>
          <w:jc w:val="center"/>
        </w:trPr>
        <w:tc>
          <w:tcPr>
            <w:tcW w:w="57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862AD" w14:textId="77777777" w:rsidR="00E11301" w:rsidRDefault="00E02C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Times New Roman" w:cs="Times New Roman"/>
                <w:color w:val="000000"/>
              </w:rPr>
              <w:t>Have information on other variables in the PCEs and PREVENT equations at visit 1</w:t>
            </w:r>
          </w:p>
        </w:tc>
        <w:tc>
          <w:tcPr>
            <w:tcW w:w="21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E5871" w14:textId="77777777" w:rsidR="00E11301" w:rsidRDefault="00E02C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Times New Roman" w:cs="Times New Roman"/>
                <w:color w:val="000000"/>
              </w:rPr>
              <w:t>2,608</w:t>
            </w:r>
          </w:p>
        </w:tc>
      </w:tr>
      <w:tr w:rsidR="00E11301" w14:paraId="72BB83CB" w14:textId="77777777">
        <w:trPr>
          <w:jc w:val="center"/>
        </w:trPr>
        <w:tc>
          <w:tcPr>
            <w:tcW w:w="57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EE717" w14:textId="77777777" w:rsidR="00E11301" w:rsidRDefault="00E02C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Times New Roman" w:cs="Times New Roman"/>
                <w:color w:val="000000"/>
              </w:rPr>
              <w:t>All variables in range for PREVENT equations at visit 1</w:t>
            </w:r>
          </w:p>
        </w:tc>
        <w:tc>
          <w:tcPr>
            <w:tcW w:w="21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A428BB" w14:textId="77777777" w:rsidR="00E11301" w:rsidRDefault="00E02C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Times New Roman" w:cs="Times New Roman"/>
                <w:color w:val="000000"/>
              </w:rPr>
              <w:t>2,489</w:t>
            </w:r>
          </w:p>
        </w:tc>
      </w:tr>
      <w:tr w:rsidR="00E11301" w14:paraId="1E981E4E" w14:textId="77777777">
        <w:trPr>
          <w:jc w:val="center"/>
        </w:trPr>
        <w:tc>
          <w:tcPr>
            <w:tcW w:w="57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BF83C" w14:textId="77777777" w:rsidR="00E11301" w:rsidRDefault="00E02C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Times New Roman" w:cs="Times New Roman"/>
                <w:color w:val="000000"/>
              </w:rPr>
              <w:t>Without hypertension at visit 1</w:t>
            </w:r>
          </w:p>
        </w:tc>
        <w:tc>
          <w:tcPr>
            <w:tcW w:w="21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EE872" w14:textId="77777777" w:rsidR="00E11301" w:rsidRDefault="00E02C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Times New Roman" w:cs="Times New Roman"/>
                <w:color w:val="000000"/>
              </w:rPr>
              <w:t>1,388</w:t>
            </w:r>
          </w:p>
        </w:tc>
      </w:tr>
      <w:tr w:rsidR="00E11301" w14:paraId="269FC45A" w14:textId="77777777">
        <w:trPr>
          <w:jc w:val="center"/>
        </w:trPr>
        <w:tc>
          <w:tcPr>
            <w:tcW w:w="57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F555A" w14:textId="77777777" w:rsidR="00E11301" w:rsidRDefault="00E02C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Times New Roman" w:cs="Times New Roman"/>
                <w:color w:val="000000"/>
              </w:rPr>
              <w:t>With hypertension status known at visit 2 or visit 3</w:t>
            </w:r>
          </w:p>
        </w:tc>
        <w:tc>
          <w:tcPr>
            <w:tcW w:w="21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A2E51" w14:textId="77777777" w:rsidR="00E11301" w:rsidRDefault="00E02C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eastAsia="Times New Roman" w:cs="Times New Roman"/>
                <w:color w:val="000000"/>
              </w:rPr>
              <w:t>1,230</w:t>
            </w:r>
          </w:p>
        </w:tc>
      </w:tr>
    </w:tbl>
    <w:p w14:paraId="5A3C6BE3" w14:textId="77777777" w:rsidR="00E11301" w:rsidRDefault="00E02C64">
      <w:r>
        <w:br w:type="page"/>
      </w:r>
    </w:p>
    <w:p w14:paraId="5B03D056" w14:textId="77777777" w:rsidR="00E11301" w:rsidRDefault="00E02C64">
      <w:pPr>
        <w:pStyle w:val="BodyText"/>
      </w:pPr>
      <w:r>
        <w:lastRenderedPageBreak/>
        <w:t>Table 2: Number of Jackson Heart Study participants in groups defined by blood pressure and total cardiovascular disease risk.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880"/>
        <w:gridCol w:w="1800"/>
        <w:gridCol w:w="1800"/>
        <w:gridCol w:w="1800"/>
        <w:gridCol w:w="1800"/>
      </w:tblGrid>
      <w:tr w:rsidR="00E11301" w14:paraId="391F6BF7" w14:textId="77777777">
        <w:trPr>
          <w:tblHeader/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C4A29" w14:textId="77777777" w:rsidR="00E11301" w:rsidRDefault="00E02C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Times New Roman" w:cs="Times New Roman"/>
                <w:b/>
                <w:color w:val="000000"/>
              </w:rPr>
              <w:t>PREVENT CVD risk equation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5D558" w14:textId="77777777" w:rsidR="00E11301" w:rsidRDefault="00E02C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eastAsia="Times New Roman" w:cs="Times New Roman"/>
                <w:b/>
                <w:color w:val="000000"/>
              </w:rPr>
              <w:t>Overall</w:t>
            </w:r>
            <w:r>
              <w:rPr>
                <w:rFonts w:eastAsia="Times New Roman" w:cs="Times New Roman"/>
                <w:b/>
                <w:color w:val="000000"/>
              </w:rPr>
              <w:br/>
              <w:t>(n = 1,230)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6719F" w14:textId="77777777" w:rsidR="00E11301" w:rsidRDefault="00E02C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eastAsia="Times New Roman" w:cs="Times New Roman"/>
                <w:b/>
                <w:color w:val="000000"/>
              </w:rPr>
              <w:t>Elevated blood pressure</w:t>
            </w:r>
            <w:r>
              <w:rPr>
                <w:rFonts w:eastAsia="Times New Roman" w:cs="Times New Roman"/>
                <w:b/>
                <w:color w:val="000000"/>
              </w:rPr>
              <w:br/>
              <w:t>(n = 225)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1ED1B" w14:textId="77777777" w:rsidR="00E11301" w:rsidRDefault="00E02C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eastAsia="Times New Roman" w:cs="Times New Roman"/>
                <w:b/>
                <w:color w:val="000000"/>
              </w:rPr>
              <w:t>Normal blood pressure</w:t>
            </w:r>
            <w:r>
              <w:rPr>
                <w:rFonts w:eastAsia="Times New Roman" w:cs="Times New Roman"/>
                <w:b/>
                <w:color w:val="000000"/>
              </w:rPr>
              <w:br/>
              <w:t>(n = 613)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51E087" w14:textId="77777777" w:rsidR="00E11301" w:rsidRDefault="00E02C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eastAsia="Times New Roman" w:cs="Times New Roman"/>
                <w:b/>
                <w:color w:val="000000"/>
              </w:rPr>
              <w:t>Stage 1 hypertension</w:t>
            </w:r>
            <w:r>
              <w:rPr>
                <w:rFonts w:eastAsia="Times New Roman" w:cs="Times New Roman"/>
                <w:b/>
                <w:color w:val="000000"/>
              </w:rPr>
              <w:br/>
              <w:t>(n = 392)</w:t>
            </w:r>
          </w:p>
        </w:tc>
      </w:tr>
      <w:tr w:rsidR="00E11301" w14:paraId="44B4F355" w14:textId="77777777">
        <w:trPr>
          <w:jc w:val="center"/>
        </w:trPr>
        <w:tc>
          <w:tcPr>
            <w:tcW w:w="10080" w:type="dxa"/>
            <w:gridSpan w:val="5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7DC32B" w14:textId="77777777" w:rsidR="00E11301" w:rsidRDefault="00E02C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Times New Roman" w:cs="Times New Roman"/>
                <w:color w:val="000000"/>
              </w:rPr>
              <w:t>10-year total CVD risk</w:t>
            </w:r>
          </w:p>
        </w:tc>
      </w:tr>
      <w:tr w:rsidR="00E11301" w14:paraId="12D5249E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7CBE2" w14:textId="77777777" w:rsidR="00E11301" w:rsidRDefault="00E02C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eastAsia="Times New Roman" w:cs="Times New Roman"/>
                <w:color w:val="000000"/>
              </w:rPr>
              <w:t>&lt; 10%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858C4C" w14:textId="77777777" w:rsidR="00E11301" w:rsidRDefault="00E02C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eastAsia="Times New Roman" w:cs="Times New Roman"/>
                <w:color w:val="000000"/>
              </w:rPr>
              <w:t>1,215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4085E" w14:textId="77777777" w:rsidR="00E11301" w:rsidRDefault="00E02C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eastAsia="Times New Roman" w:cs="Times New Roman"/>
                <w:color w:val="000000"/>
              </w:rPr>
              <w:t>221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1BFEF" w14:textId="77777777" w:rsidR="00E11301" w:rsidRDefault="00E02C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eastAsia="Times New Roman" w:cs="Times New Roman"/>
                <w:color w:val="000000"/>
              </w:rPr>
              <w:t>611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4D2018" w14:textId="77777777" w:rsidR="00E11301" w:rsidRDefault="00E02C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eastAsia="Times New Roman" w:cs="Times New Roman"/>
                <w:color w:val="000000"/>
              </w:rPr>
              <w:t>383</w:t>
            </w:r>
          </w:p>
        </w:tc>
      </w:tr>
      <w:tr w:rsidR="00E11301" w14:paraId="1889ED83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EA8A75" w14:textId="77777777" w:rsidR="00E11301" w:rsidRDefault="00E02C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eastAsia="Times New Roman" w:cs="Times New Roman"/>
                <w:color w:val="000000"/>
              </w:rPr>
              <w:t>≥ 10%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E61CD" w14:textId="77777777" w:rsidR="00E11301" w:rsidRDefault="00E02C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eastAsia="Times New Roman" w:cs="Times New Roman"/>
                <w:color w:val="000000"/>
              </w:rPr>
              <w:t>15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AD143" w14:textId="77777777" w:rsidR="00E11301" w:rsidRDefault="00E02C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eastAsia="Times New Roman" w:cs="Times New Roman"/>
                <w:color w:val="000000"/>
              </w:rPr>
              <w:t>4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8ABE5E" w14:textId="77777777" w:rsidR="00E11301" w:rsidRDefault="00E02C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eastAsia="Times New Roman" w:cs="Times New Roman"/>
                <w:color w:val="000000"/>
              </w:rPr>
              <w:t>2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23D8" w14:textId="77777777" w:rsidR="00E11301" w:rsidRDefault="00E02C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eastAsia="Times New Roman" w:cs="Times New Roman"/>
                <w:color w:val="000000"/>
              </w:rPr>
              <w:t>9</w:t>
            </w:r>
          </w:p>
        </w:tc>
      </w:tr>
      <w:tr w:rsidR="00E11301" w14:paraId="3025D787" w14:textId="77777777">
        <w:trPr>
          <w:jc w:val="center"/>
        </w:trPr>
        <w:tc>
          <w:tcPr>
            <w:tcW w:w="10080" w:type="dxa"/>
            <w:gridSpan w:val="5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697E79" w14:textId="77777777" w:rsidR="00E11301" w:rsidRDefault="00E02C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Times New Roman" w:cs="Times New Roman"/>
                <w:color w:val="000000"/>
              </w:rPr>
              <w:t>30-year total CVD risk</w:t>
            </w:r>
          </w:p>
        </w:tc>
      </w:tr>
      <w:tr w:rsidR="00E11301" w14:paraId="054F1D2B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CA1B5A" w14:textId="77777777" w:rsidR="00E11301" w:rsidRDefault="00E02C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eastAsia="Times New Roman" w:cs="Times New Roman"/>
                <w:color w:val="000000"/>
              </w:rPr>
              <w:t>&lt;10%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882636" w14:textId="77777777" w:rsidR="00E11301" w:rsidRDefault="00E02C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eastAsia="Times New Roman" w:cs="Times New Roman"/>
                <w:color w:val="000000"/>
              </w:rPr>
              <w:t>457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2EA947" w14:textId="77777777" w:rsidR="00E11301" w:rsidRDefault="00E02C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eastAsia="Times New Roman" w:cs="Times New Roman"/>
                <w:color w:val="000000"/>
              </w:rPr>
              <w:t>58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0E375" w14:textId="77777777" w:rsidR="00E11301" w:rsidRDefault="00E02C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eastAsia="Times New Roman" w:cs="Times New Roman"/>
                <w:color w:val="000000"/>
              </w:rPr>
              <w:t>316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C2E81B" w14:textId="77777777" w:rsidR="00E11301" w:rsidRDefault="00E02C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eastAsia="Times New Roman" w:cs="Times New Roman"/>
                <w:color w:val="000000"/>
              </w:rPr>
              <w:t>83</w:t>
            </w:r>
          </w:p>
        </w:tc>
      </w:tr>
      <w:tr w:rsidR="00E11301" w14:paraId="3F0E3B7A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EA76E" w14:textId="77777777" w:rsidR="00E11301" w:rsidRDefault="00E02C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eastAsia="Times New Roman" w:cs="Times New Roman"/>
                <w:color w:val="000000"/>
              </w:rPr>
              <w:t>10% to &lt;15%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9F243" w14:textId="77777777" w:rsidR="00E11301" w:rsidRDefault="00E02C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eastAsia="Times New Roman" w:cs="Times New Roman"/>
                <w:color w:val="000000"/>
              </w:rPr>
              <w:t>288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FE33B" w14:textId="77777777" w:rsidR="00E11301" w:rsidRDefault="00E02C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eastAsia="Times New Roman" w:cs="Times New Roman"/>
                <w:color w:val="000000"/>
              </w:rPr>
              <w:t>60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D480B" w14:textId="77777777" w:rsidR="00E11301" w:rsidRDefault="00E02C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eastAsia="Times New Roman" w:cs="Times New Roman"/>
                <w:color w:val="000000"/>
              </w:rPr>
              <w:t>141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21A044" w14:textId="77777777" w:rsidR="00E11301" w:rsidRDefault="00E02C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eastAsia="Times New Roman" w:cs="Times New Roman"/>
                <w:color w:val="000000"/>
              </w:rPr>
              <w:t>87</w:t>
            </w:r>
          </w:p>
        </w:tc>
      </w:tr>
      <w:tr w:rsidR="00E11301" w14:paraId="5D4EC2BA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C8AF1" w14:textId="77777777" w:rsidR="00E11301" w:rsidRDefault="00E02C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eastAsia="Times New Roman" w:cs="Times New Roman"/>
                <w:color w:val="000000"/>
              </w:rPr>
              <w:t>15% to &lt;20%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B0E4E" w14:textId="77777777" w:rsidR="00E11301" w:rsidRDefault="00E02C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eastAsia="Times New Roman" w:cs="Times New Roman"/>
                <w:color w:val="000000"/>
              </w:rPr>
              <w:t>207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07624" w14:textId="77777777" w:rsidR="00E11301" w:rsidRDefault="00E02C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eastAsia="Times New Roman" w:cs="Times New Roman"/>
                <w:color w:val="000000"/>
              </w:rPr>
              <w:t>50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11892" w14:textId="77777777" w:rsidR="00E11301" w:rsidRDefault="00E02C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eastAsia="Times New Roman" w:cs="Times New Roman"/>
                <w:color w:val="000000"/>
              </w:rPr>
              <w:t>72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87C8B" w14:textId="77777777" w:rsidR="00E11301" w:rsidRDefault="00E02C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eastAsia="Times New Roman" w:cs="Times New Roman"/>
                <w:color w:val="000000"/>
              </w:rPr>
              <w:t>85</w:t>
            </w:r>
          </w:p>
        </w:tc>
      </w:tr>
      <w:tr w:rsidR="00E11301" w14:paraId="6FAB2BF1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1386E" w14:textId="77777777" w:rsidR="00E11301" w:rsidRDefault="00E02C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eastAsia="Times New Roman" w:cs="Times New Roman"/>
                <w:color w:val="000000"/>
              </w:rPr>
              <w:t>20% to &lt;25%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EAC27" w14:textId="77777777" w:rsidR="00E11301" w:rsidRDefault="00E02C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eastAsia="Times New Roman" w:cs="Times New Roman"/>
                <w:color w:val="000000"/>
              </w:rPr>
              <w:t>155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8F25FE" w14:textId="77777777" w:rsidR="00E11301" w:rsidRDefault="00E02C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eastAsia="Times New Roman" w:cs="Times New Roman"/>
                <w:color w:val="000000"/>
              </w:rPr>
              <w:t>28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1423C" w14:textId="77777777" w:rsidR="00E11301" w:rsidRDefault="00E02C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eastAsia="Times New Roman" w:cs="Times New Roman"/>
                <w:color w:val="000000"/>
              </w:rPr>
              <w:t>61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6E425" w14:textId="77777777" w:rsidR="00E11301" w:rsidRDefault="00E02C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eastAsia="Times New Roman" w:cs="Times New Roman"/>
                <w:color w:val="000000"/>
              </w:rPr>
              <w:t>66</w:t>
            </w:r>
          </w:p>
        </w:tc>
      </w:tr>
      <w:tr w:rsidR="00E11301" w14:paraId="401084C9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C1A7DA" w14:textId="77777777" w:rsidR="00E11301" w:rsidRDefault="00E02C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eastAsia="Times New Roman" w:cs="Times New Roman"/>
                <w:color w:val="000000"/>
              </w:rPr>
              <w:t>25% to &lt;30%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10DDD" w14:textId="77777777" w:rsidR="00E11301" w:rsidRDefault="00E02C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eastAsia="Times New Roman" w:cs="Times New Roman"/>
                <w:color w:val="000000"/>
              </w:rPr>
              <w:t>69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8DD5EB" w14:textId="77777777" w:rsidR="00E11301" w:rsidRDefault="00E02C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eastAsia="Times New Roman" w:cs="Times New Roman"/>
                <w:color w:val="000000"/>
              </w:rPr>
              <w:t>16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44ACD" w14:textId="77777777" w:rsidR="00E11301" w:rsidRDefault="00E02C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eastAsia="Times New Roman" w:cs="Times New Roman"/>
                <w:color w:val="000000"/>
              </w:rPr>
              <w:t>13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C65750" w14:textId="77777777" w:rsidR="00E11301" w:rsidRDefault="00E02C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eastAsia="Times New Roman" w:cs="Times New Roman"/>
                <w:color w:val="000000"/>
              </w:rPr>
              <w:t>40</w:t>
            </w:r>
          </w:p>
        </w:tc>
      </w:tr>
      <w:tr w:rsidR="00E11301" w14:paraId="3369FEBA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2DC00" w14:textId="77777777" w:rsidR="00E11301" w:rsidRDefault="00E02C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eastAsia="Times New Roman" w:cs="Times New Roman"/>
                <w:color w:val="000000"/>
              </w:rPr>
              <w:t>≥30%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EC2B1" w14:textId="77777777" w:rsidR="00E11301" w:rsidRDefault="00E02C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eastAsia="Times New Roman" w:cs="Times New Roman"/>
                <w:color w:val="000000"/>
              </w:rPr>
              <w:t>54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FE035" w14:textId="77777777" w:rsidR="00E11301" w:rsidRDefault="00E02C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eastAsia="Times New Roman" w:cs="Times New Roman"/>
                <w:color w:val="000000"/>
              </w:rPr>
              <w:t>13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93E46" w14:textId="77777777" w:rsidR="00E11301" w:rsidRDefault="00E02C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eastAsia="Times New Roman" w:cs="Times New Roman"/>
                <w:color w:val="000000"/>
              </w:rPr>
              <w:t>10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E6E849" w14:textId="77777777" w:rsidR="00E11301" w:rsidRDefault="00E02C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eastAsia="Times New Roman" w:cs="Times New Roman"/>
                <w:color w:val="000000"/>
              </w:rPr>
              <w:t>31</w:t>
            </w:r>
          </w:p>
        </w:tc>
      </w:tr>
      <w:tr w:rsidR="00E11301" w14:paraId="263E83C2" w14:textId="77777777">
        <w:trPr>
          <w:jc w:val="center"/>
        </w:trPr>
        <w:tc>
          <w:tcPr>
            <w:tcW w:w="10080" w:type="dxa"/>
            <w:gridSpan w:val="5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E06FB" w14:textId="77777777" w:rsidR="00E11301" w:rsidRDefault="00E02C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Times New Roman" w:cs="Times New Roman"/>
                <w:color w:val="000000"/>
              </w:rPr>
              <w:t>30-year total CVD risk among those with 10- year total CVD risk &lt;10%</w:t>
            </w:r>
          </w:p>
        </w:tc>
      </w:tr>
      <w:tr w:rsidR="00E11301" w14:paraId="5A26C140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16246" w14:textId="77777777" w:rsidR="00E11301" w:rsidRDefault="00E02C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eastAsia="Times New Roman" w:cs="Times New Roman"/>
                <w:color w:val="000000"/>
              </w:rPr>
              <w:t>&lt;10%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33E522" w14:textId="77777777" w:rsidR="00E11301" w:rsidRDefault="00E02C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eastAsia="Times New Roman" w:cs="Times New Roman"/>
                <w:color w:val="000000"/>
              </w:rPr>
              <w:t>457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A0AB1" w14:textId="77777777" w:rsidR="00E11301" w:rsidRDefault="00E02C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eastAsia="Times New Roman" w:cs="Times New Roman"/>
                <w:color w:val="000000"/>
              </w:rPr>
              <w:t>58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8EAC3" w14:textId="77777777" w:rsidR="00E11301" w:rsidRDefault="00E02C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eastAsia="Times New Roman" w:cs="Times New Roman"/>
                <w:color w:val="000000"/>
              </w:rPr>
              <w:t>316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431919" w14:textId="77777777" w:rsidR="00E11301" w:rsidRDefault="00E02C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eastAsia="Times New Roman" w:cs="Times New Roman"/>
                <w:color w:val="000000"/>
              </w:rPr>
              <w:t>83</w:t>
            </w:r>
          </w:p>
        </w:tc>
      </w:tr>
      <w:tr w:rsidR="00E11301" w14:paraId="5D6F6C24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0A70B" w14:textId="77777777" w:rsidR="00E11301" w:rsidRDefault="00E02C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eastAsia="Times New Roman" w:cs="Times New Roman"/>
                <w:color w:val="000000"/>
              </w:rPr>
              <w:t>10% to &lt;15%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50EF7" w14:textId="77777777" w:rsidR="00E11301" w:rsidRDefault="00E02C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eastAsia="Times New Roman" w:cs="Times New Roman"/>
                <w:color w:val="000000"/>
              </w:rPr>
              <w:t>288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BD587" w14:textId="77777777" w:rsidR="00E11301" w:rsidRDefault="00E02C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eastAsia="Times New Roman" w:cs="Times New Roman"/>
                <w:color w:val="000000"/>
              </w:rPr>
              <w:t>60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B4D92" w14:textId="77777777" w:rsidR="00E11301" w:rsidRDefault="00E02C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eastAsia="Times New Roman" w:cs="Times New Roman"/>
                <w:color w:val="000000"/>
              </w:rPr>
              <w:t>141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5BB65A" w14:textId="77777777" w:rsidR="00E11301" w:rsidRDefault="00E02C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eastAsia="Times New Roman" w:cs="Times New Roman"/>
                <w:color w:val="000000"/>
              </w:rPr>
              <w:t>87</w:t>
            </w:r>
          </w:p>
        </w:tc>
      </w:tr>
      <w:tr w:rsidR="00E11301" w14:paraId="387DA853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48BEE" w14:textId="77777777" w:rsidR="00E11301" w:rsidRDefault="00E02C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eastAsia="Times New Roman" w:cs="Times New Roman"/>
                <w:color w:val="000000"/>
              </w:rPr>
              <w:t>15% to &lt;20%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8DDAF" w14:textId="77777777" w:rsidR="00E11301" w:rsidRDefault="00E02C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eastAsia="Times New Roman" w:cs="Times New Roman"/>
                <w:color w:val="000000"/>
              </w:rPr>
              <w:t>207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ED7391" w14:textId="77777777" w:rsidR="00E11301" w:rsidRDefault="00E02C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eastAsia="Times New Roman" w:cs="Times New Roman"/>
                <w:color w:val="000000"/>
              </w:rPr>
              <w:t>50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775839" w14:textId="77777777" w:rsidR="00E11301" w:rsidRDefault="00E02C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eastAsia="Times New Roman" w:cs="Times New Roman"/>
                <w:color w:val="000000"/>
              </w:rPr>
              <w:t>72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02E52" w14:textId="77777777" w:rsidR="00E11301" w:rsidRDefault="00E02C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eastAsia="Times New Roman" w:cs="Times New Roman"/>
                <w:color w:val="000000"/>
              </w:rPr>
              <w:t>85</w:t>
            </w:r>
          </w:p>
        </w:tc>
      </w:tr>
      <w:tr w:rsidR="00E11301" w14:paraId="723F3355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F5C42" w14:textId="77777777" w:rsidR="00E11301" w:rsidRDefault="00E02C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eastAsia="Times New Roman" w:cs="Times New Roman"/>
                <w:color w:val="000000"/>
              </w:rPr>
              <w:t>20% to &lt;25%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31D3B" w14:textId="77777777" w:rsidR="00E11301" w:rsidRDefault="00E02C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eastAsia="Times New Roman" w:cs="Times New Roman"/>
                <w:color w:val="000000"/>
              </w:rPr>
              <w:t>155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51E53" w14:textId="77777777" w:rsidR="00E11301" w:rsidRDefault="00E02C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eastAsia="Times New Roman" w:cs="Times New Roman"/>
                <w:color w:val="000000"/>
              </w:rPr>
              <w:t>28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D93156" w14:textId="77777777" w:rsidR="00E11301" w:rsidRDefault="00E02C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eastAsia="Times New Roman" w:cs="Times New Roman"/>
                <w:color w:val="000000"/>
              </w:rPr>
              <w:t>61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46B29E" w14:textId="77777777" w:rsidR="00E11301" w:rsidRDefault="00E02C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eastAsia="Times New Roman" w:cs="Times New Roman"/>
                <w:color w:val="000000"/>
              </w:rPr>
              <w:t>66</w:t>
            </w:r>
          </w:p>
        </w:tc>
      </w:tr>
      <w:tr w:rsidR="00E11301" w14:paraId="63846A77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A13F35" w14:textId="77777777" w:rsidR="00E11301" w:rsidRDefault="00E02C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eastAsia="Times New Roman" w:cs="Times New Roman"/>
                <w:color w:val="000000"/>
              </w:rPr>
              <w:t>25% to &lt;30%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2D3DC" w14:textId="77777777" w:rsidR="00E11301" w:rsidRDefault="00E02C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eastAsia="Times New Roman" w:cs="Times New Roman"/>
                <w:color w:val="000000"/>
              </w:rPr>
              <w:t>69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65F49" w14:textId="77777777" w:rsidR="00E11301" w:rsidRDefault="00E02C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eastAsia="Times New Roman" w:cs="Times New Roman"/>
                <w:color w:val="000000"/>
              </w:rPr>
              <w:t>16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24E7B" w14:textId="77777777" w:rsidR="00E11301" w:rsidRDefault="00E02C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eastAsia="Times New Roman" w:cs="Times New Roman"/>
                <w:color w:val="000000"/>
              </w:rPr>
              <w:t>13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9B227" w14:textId="77777777" w:rsidR="00E11301" w:rsidRDefault="00E02C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eastAsia="Times New Roman" w:cs="Times New Roman"/>
                <w:color w:val="000000"/>
              </w:rPr>
              <w:t>40</w:t>
            </w:r>
          </w:p>
        </w:tc>
      </w:tr>
      <w:tr w:rsidR="00E11301" w14:paraId="21A2FA8D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55170" w14:textId="77777777" w:rsidR="00E11301" w:rsidRDefault="00E02C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eastAsia="Times New Roman" w:cs="Times New Roman"/>
                <w:color w:val="000000"/>
              </w:rPr>
              <w:t>≥30%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421959" w14:textId="77777777" w:rsidR="00E11301" w:rsidRDefault="00E02C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eastAsia="Times New Roman" w:cs="Times New Roman"/>
                <w:color w:val="000000"/>
              </w:rPr>
              <w:t>39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D30EC7" w14:textId="77777777" w:rsidR="00E11301" w:rsidRDefault="00E02C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eastAsia="Times New Roman" w:cs="Times New Roman"/>
                <w:color w:val="000000"/>
              </w:rPr>
              <w:t>9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A988C" w14:textId="77777777" w:rsidR="00E11301" w:rsidRDefault="00E02C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eastAsia="Times New Roman" w:cs="Times New Roman"/>
                <w:color w:val="000000"/>
              </w:rPr>
              <w:t>8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B22CD" w14:textId="77777777" w:rsidR="00E11301" w:rsidRDefault="00E02C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eastAsia="Times New Roman" w:cs="Times New Roman"/>
                <w:color w:val="000000"/>
              </w:rPr>
              <w:t>22</w:t>
            </w:r>
          </w:p>
        </w:tc>
      </w:tr>
      <w:bookmarkEnd w:id="2"/>
    </w:tbl>
    <w:p w14:paraId="0472B22B" w14:textId="77777777" w:rsidR="00E02C64" w:rsidRDefault="00E02C64"/>
    <w:sectPr w:rsidR="00E02C64" w:rsidSect="00153E5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8BF0C3" w14:textId="77777777" w:rsidR="00153E56" w:rsidRDefault="00153E56">
      <w:pPr>
        <w:spacing w:after="0"/>
      </w:pPr>
      <w:r>
        <w:separator/>
      </w:r>
    </w:p>
  </w:endnote>
  <w:endnote w:type="continuationSeparator" w:id="0">
    <w:p w14:paraId="7E6ACA13" w14:textId="77777777" w:rsidR="00153E56" w:rsidRDefault="00153E5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62A853" w14:textId="77777777" w:rsidR="00000000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476680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7F5A62" w14:textId="77777777" w:rsidR="00000000" w:rsidRDefault="00E02C6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F313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FBB37EB" w14:textId="77777777" w:rsidR="00000000" w:rsidRDefault="00000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2C29D" w14:textId="77777777" w:rsidR="0000000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519DEF" w14:textId="77777777" w:rsidR="00153E56" w:rsidRDefault="00153E56">
      <w:pPr>
        <w:spacing w:after="0"/>
      </w:pPr>
      <w:r>
        <w:separator/>
      </w:r>
    </w:p>
  </w:footnote>
  <w:footnote w:type="continuationSeparator" w:id="0">
    <w:p w14:paraId="0935909F" w14:textId="77777777" w:rsidR="00153E56" w:rsidRDefault="00153E5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A9022D" w14:textId="77777777" w:rsidR="00000000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428061" w14:textId="77777777" w:rsidR="00000000" w:rsidRDefault="000000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A34BC" w14:textId="77777777" w:rsidR="00000000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71827E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97EBA4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0A83C8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7021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EE8E67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20A35B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3805C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8E2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1B2CF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08800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FBA462A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00A99411"/>
    <w:multiLevelType w:val="multilevel"/>
    <w:tmpl w:val="891C8B02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2" w15:restartNumberingAfterBreak="0">
    <w:nsid w:val="00A99711"/>
    <w:multiLevelType w:val="multilevel"/>
    <w:tmpl w:val="628AA9FE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abstractNum w:abstractNumId="13" w15:restartNumberingAfterBreak="0">
    <w:nsid w:val="2C1AE401"/>
    <w:multiLevelType w:val="multilevel"/>
    <w:tmpl w:val="698EC27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540825148">
    <w:abstractNumId w:val="13"/>
  </w:num>
  <w:num w:numId="2" w16cid:durableId="1309438521">
    <w:abstractNumId w:val="9"/>
  </w:num>
  <w:num w:numId="3" w16cid:durableId="91820225">
    <w:abstractNumId w:val="7"/>
  </w:num>
  <w:num w:numId="4" w16cid:durableId="2092703423">
    <w:abstractNumId w:val="6"/>
  </w:num>
  <w:num w:numId="5" w16cid:durableId="1968849643">
    <w:abstractNumId w:val="5"/>
  </w:num>
  <w:num w:numId="6" w16cid:durableId="318115661">
    <w:abstractNumId w:val="4"/>
  </w:num>
  <w:num w:numId="7" w16cid:durableId="487208067">
    <w:abstractNumId w:val="8"/>
  </w:num>
  <w:num w:numId="8" w16cid:durableId="62338781">
    <w:abstractNumId w:val="3"/>
  </w:num>
  <w:num w:numId="9" w16cid:durableId="1150099374">
    <w:abstractNumId w:val="2"/>
  </w:num>
  <w:num w:numId="10" w16cid:durableId="880631961">
    <w:abstractNumId w:val="1"/>
  </w:num>
  <w:num w:numId="11" w16cid:durableId="1803111856">
    <w:abstractNumId w:val="0"/>
  </w:num>
  <w:num w:numId="12" w16cid:durableId="806511108">
    <w:abstractNumId w:val="10"/>
  </w:num>
  <w:num w:numId="13" w16cid:durableId="13645398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36173847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4650297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32918742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1301"/>
    <w:rsid w:val="00153E56"/>
    <w:rsid w:val="004F313F"/>
    <w:rsid w:val="00E02C64"/>
    <w:rsid w:val="00E11301"/>
    <w:rsid w:val="00F0678D"/>
    <w:rsid w:val="00F33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5E882"/>
  <w15:docId w15:val="{42D9A042-213C-4FEF-8274-F91E24CF3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B7E9C"/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872DF2"/>
    <w:pPr>
      <w:keepNext/>
      <w:keepLines/>
      <w:spacing w:before="480" w:after="0" w:line="480" w:lineRule="auto"/>
      <w:outlineLvl w:val="0"/>
    </w:pPr>
    <w:rPr>
      <w:rFonts w:eastAsiaTheme="majorEastAsia" w:cstheme="majorBidi"/>
      <w:b/>
      <w:bC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5F0F61"/>
    <w:pPr>
      <w:keepNext/>
      <w:keepLines/>
      <w:spacing w:before="200" w:after="0" w:line="360" w:lineRule="auto"/>
      <w:outlineLvl w:val="1"/>
    </w:pPr>
    <w:rPr>
      <w:rFonts w:eastAsiaTheme="majorEastAsia" w:cstheme="majorBidi"/>
      <w:b/>
      <w:bCs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972032"/>
    <w:pPr>
      <w:keepNext/>
      <w:keepLines/>
      <w:spacing w:before="200" w:after="0" w:line="360" w:lineRule="auto"/>
      <w:outlineLvl w:val="2"/>
    </w:pPr>
    <w:rPr>
      <w:rFonts w:eastAsiaTheme="majorEastAsia" w:cstheme="majorBidi"/>
      <w:b/>
      <w:bCs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DB7E9C"/>
    <w:pPr>
      <w:keepNext/>
      <w:keepLines/>
      <w:spacing w:before="200" w:after="0"/>
      <w:outlineLvl w:val="3"/>
    </w:pPr>
    <w:rPr>
      <w:rFonts w:eastAsiaTheme="majorEastAsia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DB7E9C"/>
    <w:pPr>
      <w:keepNext/>
      <w:keepLines/>
      <w:spacing w:before="200" w:after="0"/>
      <w:outlineLvl w:val="4"/>
    </w:pPr>
    <w:rPr>
      <w:rFonts w:eastAsiaTheme="majorEastAsia" w:cstheme="majorBidi"/>
      <w:i/>
      <w:iCs/>
    </w:rPr>
  </w:style>
  <w:style w:type="paragraph" w:styleId="Heading6">
    <w:name w:val="heading 6"/>
    <w:basedOn w:val="Normal"/>
    <w:next w:val="BodyText"/>
    <w:uiPriority w:val="9"/>
    <w:unhideWhenUsed/>
    <w:qFormat/>
    <w:rsid w:val="00DB7E9C"/>
    <w:pPr>
      <w:keepNext/>
      <w:keepLines/>
      <w:spacing w:before="200" w:after="0"/>
      <w:outlineLvl w:val="5"/>
    </w:pPr>
    <w:rPr>
      <w:rFonts w:eastAsiaTheme="majorEastAsia" w:cstheme="majorBidi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DB7E9C"/>
    <w:pPr>
      <w:spacing w:before="180" w:after="180" w:line="480" w:lineRule="auto"/>
    </w:pPr>
  </w:style>
  <w:style w:type="paragraph" w:customStyle="1" w:styleId="FirstParagraph">
    <w:name w:val="First Paragraph"/>
    <w:basedOn w:val="BodyText"/>
    <w:next w:val="BodyText"/>
    <w:qFormat/>
    <w:rsid w:val="001A3E5B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DB7E9C"/>
    <w:pPr>
      <w:keepNext/>
      <w:keepLines/>
      <w:spacing w:before="480" w:after="240"/>
      <w:jc w:val="center"/>
    </w:pPr>
    <w:rPr>
      <w:rFonts w:eastAsiaTheme="majorEastAsia" w:cstheme="majorBidi"/>
      <w:b/>
      <w:bCs/>
      <w:sz w:val="32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DB7E9C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DB7E9C"/>
    <w:pPr>
      <w:keepNext/>
      <w:keepLines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DB7E9C"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  <w:rsid w:val="00DB7E9C"/>
  </w:style>
  <w:style w:type="paragraph" w:styleId="BlockText">
    <w:name w:val="Block Text"/>
    <w:basedOn w:val="BodyText"/>
    <w:next w:val="BodyText"/>
    <w:uiPriority w:val="9"/>
    <w:unhideWhenUsed/>
    <w:qFormat/>
    <w:rsid w:val="00DB7E9C"/>
    <w:pPr>
      <w:spacing w:before="100" w:after="100"/>
    </w:pPr>
    <w:rPr>
      <w:rFonts w:eastAsiaTheme="majorEastAsia" w:cstheme="majorBidi"/>
      <w:bCs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705EF3"/>
    <w:pPr>
      <w:keepNext/>
    </w:pPr>
    <w:rPr>
      <w:i w:val="0"/>
    </w:r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DB7E9C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DB7E9C"/>
    <w:rPr>
      <w:rFonts w:ascii="Times New Roman" w:hAnsi="Times New Roman"/>
    </w:rPr>
  </w:style>
  <w:style w:type="paragraph" w:styleId="Header">
    <w:name w:val="header"/>
    <w:basedOn w:val="Normal"/>
    <w:link w:val="HeaderChar"/>
    <w:unhideWhenUsed/>
    <w:rsid w:val="00314C34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314C34"/>
    <w:rPr>
      <w:rFonts w:ascii="Calibri" w:hAnsi="Calibri"/>
      <w:sz w:val="22"/>
    </w:rPr>
  </w:style>
  <w:style w:type="paragraph" w:styleId="Footer">
    <w:name w:val="footer"/>
    <w:basedOn w:val="Normal"/>
    <w:link w:val="FooterChar"/>
    <w:uiPriority w:val="99"/>
    <w:unhideWhenUsed/>
    <w:rsid w:val="00314C3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14C34"/>
    <w:rPr>
      <w:rFonts w:ascii="Calibri" w:hAnsi="Calibri"/>
      <w:sz w:val="22"/>
    </w:rPr>
  </w:style>
  <w:style w:type="paragraph" w:styleId="BalloonText">
    <w:name w:val="Balloon Text"/>
    <w:basedOn w:val="Normal"/>
    <w:link w:val="BalloonTextChar"/>
    <w:semiHidden/>
    <w:unhideWhenUsed/>
    <w:rsid w:val="00F0678D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F0678D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semiHidden/>
    <w:unhideWhenUsed/>
    <w:rsid w:val="004F313F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4F31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4F313F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4F31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4F313F"/>
    <w:rPr>
      <w:rFonts w:ascii="Times New Roman" w:hAnsi="Times New Roman"/>
      <w:b/>
      <w:bCs/>
      <w:sz w:val="20"/>
      <w:szCs w:val="20"/>
    </w:rPr>
  </w:style>
  <w:style w:type="paragraph" w:styleId="Revision">
    <w:name w:val="Revision"/>
    <w:hidden/>
    <w:semiHidden/>
    <w:rsid w:val="00F33A04"/>
    <w:pPr>
      <w:spacing w:after="0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594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JHS manuscript proposal content</vt:lpstr>
    </vt:vector>
  </TitlesOfParts>
  <Company/>
  <LinksUpToDate>false</LinksUpToDate>
  <CharactersWithSpaces>3973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JHS manuscript proposal content</dc:title>
  <dc:creator>Muntner, Paul M</dc:creator>
  <cp:keywords/>
  <cp:lastModifiedBy>Byron C Jaeger</cp:lastModifiedBy>
  <cp:revision>2</cp:revision>
  <dcterms:created xsi:type="dcterms:W3CDTF">2024-04-10T00:54:00Z</dcterms:created>
  <dcterms:modified xsi:type="dcterms:W3CDTF">2024-04-10T00:54:00Z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bibliography">
    <vt:lpwstr>refs.bib</vt:lpwstr>
  </property>
  <property fmtid="{D5CDD505-2E9C-101B-9397-08002B2CF9AE}" pid="4" name="csl">
    <vt:lpwstr>jama.csl</vt:lpwstr>
  </property>
  <property fmtid="{D5CDD505-2E9C-101B-9397-08002B2CF9AE}" pid="5" name="output">
    <vt:lpwstr/>
  </property>
</Properties>
</file>