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2025년 연간 업무 개선 실적 보고서</w:t>
      </w:r>
    </w:p>
    <w:p>
      <w:r>
        <w:t>제작자 편집본 | 교육용 가상자료 | 검토용·미승인</w:t>
      </w:r>
    </w:p>
    <w:p>
      <w:r>
        <w:t>실제 AI 수정 응답을 제작자가 검산·축약한 최종 실습 예시다. 실제 한국전력공사의 사업실적·정책·승인 문서가 아니다.</w:t>
      </w:r>
    </w:p>
    <w:p>
      <w:pPr>
        <w:pStyle w:val="Heading2"/>
      </w:pPr>
      <w:r>
        <w:t>1. 요약</w:t>
      </w:r>
    </w:p>
    <w:p>
      <w:r>
        <w:t>2025년 1월 1일~12월 31일 강원지역 전력설비 점검·고객안내 업무 개선 시범사업의 달성률은 점검기록 정비 99.3%, 계획작업 고객안내 99.4%, 직원 업무교육 98.4%이다. 연간 예산 합계 130,200,000원 중 119,260,000원을 집행했으며, 업무별 집행률은 90.2~92.4%이다. 실적은 모두 계획에 미달했고, 발생 원인과 개선 효과는 제공된 자료만으로 확인할 수 없다.</w:t>
      </w:r>
    </w:p>
    <w:p>
      <w:pPr>
        <w:pStyle w:val="Heading2"/>
      </w:pPr>
      <w:r>
        <w:t>2. 업무별 연간 합계와 비율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2551"/>
        <w:gridCol w:w="2381"/>
        <w:gridCol w:w="2721"/>
      </w:tblGrid>
      <w:tr>
        <w:trPr>
          <w:cantSplit/>
          <w:tblHeader/>
        </w:trPr>
        <w:tc>
          <w:tcPr>
            <w:tcW w:type="dxa" w:w="1417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업무·단위</w:t>
            </w:r>
          </w:p>
        </w:tc>
        <w:tc>
          <w:tcPr>
            <w:tcW w:type="dxa" w:w="2551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계획량</w:t>
            </w:r>
          </w:p>
        </w:tc>
        <w:tc>
          <w:tcPr>
            <w:tcW w:type="dxa" w:w="2381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실적량</w:t>
            </w:r>
          </w:p>
        </w:tc>
        <w:tc>
          <w:tcPr>
            <w:tcW w:type="dxa" w:w="2721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달성률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점검기록 정비(건)</w:t>
            </w:r>
          </w:p>
        </w:tc>
        <w:tc>
          <w:tcPr>
            <w:tcW w:type="dxa" w:w="2551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1,950</w:t>
            </w:r>
          </w:p>
        </w:tc>
        <w:tc>
          <w:tcPr>
            <w:tcW w:type="dxa" w:w="2381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1,937</w:t>
            </w:r>
          </w:p>
        </w:tc>
        <w:tc>
          <w:tcPr>
            <w:tcW w:type="dxa" w:w="2721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99.3%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계획작업 고객안내(건)</w:t>
            </w:r>
          </w:p>
        </w:tc>
        <w:tc>
          <w:tcPr>
            <w:tcW w:type="dxa" w:w="2551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1,254</w:t>
            </w:r>
          </w:p>
        </w:tc>
        <w:tc>
          <w:tcPr>
            <w:tcW w:type="dxa" w:w="2381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1,247</w:t>
            </w:r>
          </w:p>
        </w:tc>
        <w:tc>
          <w:tcPr>
            <w:tcW w:type="dxa" w:w="2721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99.4%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직원 업무교육(연인원)</w:t>
            </w:r>
          </w:p>
        </w:tc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792</w:t>
            </w:r>
          </w:p>
        </w:tc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779</w:t>
            </w:r>
          </w:p>
        </w:tc>
        <w:tc>
          <w:tcPr>
            <w:tcW w:type="dxa" w:w="2721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98.4%</w:t>
            </w:r>
          </w:p>
        </w:tc>
      </w:tr>
    </w:tbl>
    <w:p/>
    <w:p>
      <w:r>
        <w:t>점검기록 정비는 기록 정비 건수, 계획작업 고객안내는 안내자료 작성·확인 건수다. 직원 업무교육은 중복 참여를 포함한 연인원이며 고유 직원 수가 아니다. 단위와 대상이 달라 통합 처리 건수·전체 달성률은 계산하지 않는다.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2551"/>
        <w:gridCol w:w="2381"/>
        <w:gridCol w:w="2721"/>
      </w:tblGrid>
      <w:tr>
        <w:trPr>
          <w:cantSplit/>
          <w:tblHeader/>
        </w:trPr>
        <w:tc>
          <w:tcPr>
            <w:tcW w:type="dxa" w:w="1417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업무</w:t>
            </w:r>
          </w:p>
        </w:tc>
        <w:tc>
          <w:tcPr>
            <w:tcW w:type="dxa" w:w="2551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예산(원)</w:t>
            </w:r>
          </w:p>
        </w:tc>
        <w:tc>
          <w:tcPr>
            <w:tcW w:type="dxa" w:w="2381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집행액(원)</w:t>
            </w:r>
          </w:p>
        </w:tc>
        <w:tc>
          <w:tcPr>
            <w:tcW w:type="dxa" w:w="2721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집행률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점검기록 정비</w:t>
            </w:r>
          </w:p>
        </w:tc>
        <w:tc>
          <w:tcPr>
            <w:tcW w:type="dxa" w:w="2551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58,200,000</w:t>
            </w:r>
          </w:p>
        </w:tc>
        <w:tc>
          <w:tcPr>
            <w:tcW w:type="dxa" w:w="2381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53,794,000</w:t>
            </w:r>
          </w:p>
        </w:tc>
        <w:tc>
          <w:tcPr>
            <w:tcW w:type="dxa" w:w="2721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92.4%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계획작업 고객안내</w:t>
            </w:r>
          </w:p>
        </w:tc>
        <w:tc>
          <w:tcPr>
            <w:tcW w:type="dxa" w:w="2551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41,400,000</w:t>
            </w:r>
          </w:p>
        </w:tc>
        <w:tc>
          <w:tcPr>
            <w:tcW w:type="dxa" w:w="2381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37,876,000</w:t>
            </w:r>
          </w:p>
        </w:tc>
        <w:tc>
          <w:tcPr>
            <w:tcW w:type="dxa" w:w="2721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91.5%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직원 업무교육</w:t>
            </w:r>
          </w:p>
        </w:tc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30,600,000</w:t>
            </w:r>
          </w:p>
        </w:tc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27,590,000</w:t>
            </w:r>
          </w:p>
        </w:tc>
        <w:tc>
          <w:tcPr>
            <w:tcW w:type="dxa" w:w="2721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90.2%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2551"/>
        <w:gridCol w:w="2381"/>
        <w:gridCol w:w="2721"/>
      </w:tblGrid>
      <w:tr>
        <w:trPr>
          <w:cantSplit/>
          <w:tblHeader/>
        </w:trPr>
        <w:tc>
          <w:tcPr>
            <w:tcW w:type="dxa" w:w="1417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업무</w:t>
            </w:r>
          </w:p>
        </w:tc>
        <w:tc>
          <w:tcPr>
            <w:tcW w:type="dxa" w:w="2551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설문응답 수</w:t>
            </w:r>
          </w:p>
        </w:tc>
        <w:tc>
          <w:tcPr>
            <w:tcW w:type="dxa" w:w="2381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만족응답 수</w:t>
            </w:r>
          </w:p>
        </w:tc>
        <w:tc>
          <w:tcPr>
            <w:tcW w:type="dxa" w:w="2721"/>
            <w:shd w:fill="EDEFF2"/>
          </w:tcPr>
          <w:p>
            <w:pPr>
              <w:keepNext/>
              <w:spacing w:after="60" w:before="60" w:line="252" w:lineRule="auto"/>
            </w:pPr>
            <w:r>
              <w:rPr>
                <w:b/>
                <w:sz w:val="18"/>
              </w:rPr>
              <w:t>만족응답률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점검기록 정비</w:t>
            </w:r>
          </w:p>
        </w:tc>
        <w:tc>
          <w:tcPr>
            <w:tcW w:type="dxa" w:w="2551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1,354</w:t>
            </w:r>
          </w:p>
        </w:tc>
        <w:tc>
          <w:tcPr>
            <w:tcW w:type="dxa" w:w="2381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1,113</w:t>
            </w:r>
          </w:p>
        </w:tc>
        <w:tc>
          <w:tcPr>
            <w:tcW w:type="dxa" w:w="2721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82.2%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계획작업 고객안내</w:t>
            </w:r>
          </w:p>
        </w:tc>
        <w:tc>
          <w:tcPr>
            <w:tcW w:type="dxa" w:w="2551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870</w:t>
            </w:r>
          </w:p>
        </w:tc>
        <w:tc>
          <w:tcPr>
            <w:tcW w:type="dxa" w:w="2381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741</w:t>
            </w:r>
          </w:p>
        </w:tc>
        <w:tc>
          <w:tcPr>
            <w:tcW w:type="dxa" w:w="2721"/>
          </w:tcPr>
          <w:p>
            <w:pPr>
              <w:keepNext/>
              <w:spacing w:after="60" w:before="60" w:line="252" w:lineRule="auto"/>
            </w:pPr>
            <w:r>
              <w:rPr>
                <w:b w:val="0"/>
                <w:sz w:val="18"/>
              </w:rPr>
              <w:t>85.2%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직원 업무교육</w:t>
            </w:r>
          </w:p>
        </w:tc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547</w:t>
            </w:r>
          </w:p>
        </w:tc>
        <w:tc>
          <w:tcPr>
            <w:tcW w:type="dxa" w:w="2381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2721"/>
          </w:tcPr>
          <w:p>
            <w:pPr>
              <w:spacing w:after="60" w:before="60" w:line="252" w:lineRule="auto"/>
            </w:pPr>
            <w:r>
              <w:rPr>
                <w:b w:val="0"/>
                <w:sz w:val="18"/>
              </w:rPr>
              <w:t>84.6%</w:t>
            </w:r>
          </w:p>
        </w:tc>
      </w:tr>
    </w:tbl>
    <w:p/>
    <w:p>
      <w:r>
        <w:t>각 비율은 업무별 연간 합계로 계산한다. 달성률은 실적÷계획, 집행률은 집행액÷예산, 만족응답률은 만족응답÷설문응답에 100을 곱해 소수점 첫째 자리까지 표시했다. 월별 비율을 단순 평균하지 않았다.</w:t>
      </w:r>
    </w:p>
    <w:p>
      <w:pPr>
        <w:pStyle w:val="Heading2"/>
      </w:pPr>
      <w:r>
        <w:t>3. 사실과 추가 확인이 필요한 해석</w:t>
      </w:r>
    </w:p>
    <w:p>
      <w:r>
        <w:t>확인된 사실: 계획 대비 차이는 점검기록 정비 13건, 계획작업 고객안내 7건, 직원 업무교육 13연인원이다. 세 업무 모두 예산 이내에서 집행되었고, 업무별 만족응답률은 82.2~85.2%이다. 월별원자료의 조건부 합계와 사업집계를 대조했다.</w:t>
      </w:r>
    </w:p>
    <w:p>
      <w:r>
        <w:t>해석 유보: 실적 차이의 원인, 예산 미집행 사유, 비용 절감액과 정량적 개선 효과는 확인되지 않았다. 설문 문항·표본 선정 방법이 없어 대표성을 판단할 수 없으며, 만족응답률은 전체 대상자의 만족도나 고유 고객·직원 수를 뜻하지 않는다. 전년 대비 증감과 민원 감소율도 산출하지 않는다.</w:t>
      </w:r>
    </w:p>
    <w:p>
      <w:pPr>
        <w:pStyle w:val="Heading2"/>
      </w:pPr>
      <w:r>
        <w:t>4. 개선 제안과 검토자 확인사항</w:t>
      </w:r>
    </w:p>
    <w:p>
      <w:r>
        <w:t>- 점검기록 정비: 항목명 표준화와 중복 확인 기준을 검토하고 적용 전후 오류·중복 건수의 측정 방법을 마련한다.</w:t>
      </w:r>
    </w:p>
    <w:p>
      <w:r>
        <w:t>- 계획작업 고객안내: 안내 대상·일정의 누락 확인 양식을 검토하고 누락·재검토 건수를 기록한다.</w:t>
      </w:r>
    </w:p>
    <w:p>
      <w:r>
        <w:t>- 직원 업무교육: 연인원 집계는 유지하며 신규·반복 참여의 구분과 고유 인원 산출 가능 여부를 검토한다.</w:t>
      </w:r>
    </w:p>
    <w:p>
      <w:r>
        <w:t>위 제안은 검토 단계이며 승인되거나 효과가 검증된 조치가 아니다. 검토자는 실적 차이의 원인, 미집행 사유, 설문 기준, 제안의 담당 역할·적용 범위·승인 여부를 확인한다. 작성부서·결재권자·최종 승인 상태는 모두 [확인 필요]다.</w:t>
      </w:r>
    </w:p>
    <w:p>
      <w:pPr>
        <w:pStyle w:val="Heading2"/>
      </w:pPr>
      <w:r>
        <w:t>5. 근거와 범위</w:t>
      </w:r>
    </w:p>
    <w:p>
      <w:r>
        <w:t>출처는 월별사업실적_가상.xlsx의 월별원자료!A6:J41(36행), 사업집계!A6:K8, 보고서작성_입력메모_가상.pdf(1~2쪽)다. 월별원자료의 B6:B41을 업무 조건으로 사용하여 예산 D열, 집행 E열, 계획 F열, 실적 G열, 설문응답 H열, 만족응답 I열을 합산했다. 사업집계의 달성률·집행률·만족응답률을 함께 대조했다.</w:t>
      </w:r>
    </w:p>
    <w:p>
      <w:r>
        <w:t>2026년 개선 용역의 예산·기간·산출물은 별도 검토 대상이며 2025년 운영 실적과 합산하지 않는다.</w:t>
      </w:r>
    </w:p>
    <w:sectPr w:rsidR="00FC693F" w:rsidRPr="0006063C" w:rsidSect="00034616">
      <w:pgSz w:w="11906" w:h="16838"/>
      <w:pgMar w:top="1020" w:right="1417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4" w:lineRule="auto"/>
      <w:outlineLvl w:val="0"/>
    </w:pPr>
    <w:rPr>
      <w:rFonts w:ascii="맑은 고딕" w:hAnsi="맑은 고딕" w:eastAsia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4" w:lineRule="auto"/>
      <w:outlineLvl w:val="2"/>
    </w:pPr>
    <w:rPr>
      <w:rFonts w:ascii="맑은 고딕" w:hAnsi="맑은 고딕" w:eastAsia="맑은 고딕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맑은 고딕" w:hAnsi="맑은 고딕" w:eastAsia="맑은 고딕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20"/>
    </w:pPr>
    <w:rPr>
      <w:rFonts w:ascii="맑은 고딕" w:hAnsi="맑은 고딕" w:eastAsia="맑은 고딕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2025년 연간 업무 개선 실적 보고서</dc:title>
  <dc:subject>검수용 초안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