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66"/>
      </w:tblGrid>
      <w:tr>
        <w:trPr>
          <w:cantSplit/>
        </w:trPr>
        <w:tc>
          <w:tcPr>
            <w:tcW w:type="dxa" w:w="10066"/>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54" w:before="162"/>
            </w:pPr>
            <w:r>
              <w:rPr>
                <w:rFonts w:ascii="Georgia" w:cs="Georgia" w:eastAsia="Georgia" w:hAnsi="Georgia"/>
                <w:b/>
                <w:bCs/>
                <w:color w:val="7B1E2B"/>
                <w:sz w:val="51"/>
                <w:szCs w:val="51"/>
              </w:rPr>
              <w:t xml:space="preserve">Rohan Arvind Sharma</w:t>
            </w:r>
          </w:p>
          <w:p>
            <w:pPr>
              <w:spacing w:after="108" w:before="0"/>
            </w:pPr>
            <w:r>
              <w:rPr>
                <w:rFonts w:ascii="Georgia" w:cs="Georgia" w:eastAsia="Georgia" w:hAnsi="Georgia"/>
                <w:i/>
                <w:iCs/>
                <w:color w:val="B08D57"/>
                <w:sz w:val="24"/>
                <w:szCs w:val="24"/>
              </w:rPr>
              <w:t xml:space="preserve">Manager, Audit &amp; Assurance</w:t>
            </w:r>
          </w:p>
          <w:p>
            <w:pPr>
              <w:spacing w:after="54" w:before="0"/>
            </w:pPr>
            <w:r>
              <w:rPr>
                <w:rFonts w:ascii="Georgia" w:cs="Georgia" w:eastAsia="Georgia" w:hAnsi="Georgia"/>
                <w:color w:val="595959"/>
                <w:sz w:val="19"/>
                <w:szCs w:val="19"/>
              </w:rPr>
              <w:t xml:space="preserve">CA, B.Com  ·  ICAI, CISA Member  ·  8.5 Years</w:t>
            </w:r>
          </w:p>
          <w:p>
            <w:pPr>
              <w:spacing w:after="0" w:before="0"/>
            </w:pPr>
            <w:r>
              <w:rPr>
                <w:rFonts w:ascii="Georgia" w:cs="Georgia" w:eastAsia="Georgia" w:hAnsi="Georgia"/>
                <w:color w:val="595959"/>
                <w:sz w:val="18"/>
                <w:szCs w:val="18"/>
              </w:rPr>
              <w:t xml:space="preserve">rohan.sharma@jhsassociates.in   |   +91 98200 00000   |   Mumbai, India</w:t>
            </w:r>
          </w:p>
        </w:tc>
      </w:tr>
    </w:tbl>
    <w:p>
      <w:pPr>
        <w:pBdr>
          <w:bottom w:val="double" w:color="7B1E2B" w:sz="6" w:space="1"/>
        </w:pBdr>
        <w:spacing w:after="81" w:before="0"/>
      </w:pPr>
      <w:r>
        <w:t xml:space="preserve"/>
      </w:r>
    </w:p>
    <w:p>
      <w:pPr>
        <w:keepNext/>
        <w:pBdr>
          <w:bottom w:val="single" w:color="B08D57" w:sz="6" w:space="4"/>
        </w:pBdr>
        <w:spacing w:after="162" w:before="324"/>
      </w:pPr>
      <w:r>
        <w:rPr>
          <w:rFonts w:ascii="Georgia" w:cs="Georgia" w:eastAsia="Georgia" w:hAnsi="Georgia"/>
          <w:b/>
          <w:bCs/>
          <w:color w:val="7B1E2B"/>
          <w:spacing w:val="40"/>
          <w:sz w:val="23"/>
          <w:szCs w:val="23"/>
        </w:rPr>
        <w:t xml:space="preserve">PROFILE</w:t>
      </w:r>
    </w:p>
    <w:p>
      <w:pPr>
        <w:spacing w:after="81" w:before="0" w:line="276"/>
        <w:jc w:val="both"/>
      </w:pPr>
      <w:r>
        <w:rPr>
          <w:rFonts w:ascii="Georgia" w:cs="Georgia" w:eastAsia="Georgia" w:hAnsi="Georgia"/>
          <w:color w:val="2B2B2B"/>
          <w:sz w:val="20"/>
          <w:szCs w:val="20"/>
        </w:rPr>
        <w:t xml:space="preserve">Chartered Accountant with 8.5 years of experience in statutory audit, internal financial controls and Ind AS advisory across banking, financial services and manufacturing clients. Leads engagement teams of 6–10 professionals, manages client relationships end-to-end and brings hands-on expertise in data-driven audit procedures using SAP and Power BI.</w:t>
      </w:r>
    </w:p>
    <w:p>
      <w:pPr>
        <w:keepNext/>
        <w:pBdr>
          <w:bottom w:val="single" w:color="B08D57" w:sz="6" w:space="4"/>
        </w:pBdr>
        <w:spacing w:after="162" w:before="324"/>
      </w:pPr>
      <w:r>
        <w:rPr>
          <w:rFonts w:ascii="Georgia" w:cs="Georgia" w:eastAsia="Georgia" w:hAnsi="Georgia"/>
          <w:b/>
          <w:bCs/>
          <w:color w:val="7B1E2B"/>
          <w:spacing w:val="40"/>
          <w:sz w:val="23"/>
          <w:szCs w:val="23"/>
        </w:rPr>
        <w:t xml:space="preserve">PERSONAL &amp; PROFESSIONAL DETAILS</w:t>
      </w:r>
    </w:p>
    <w:tbl>
      <w:tblPr>
        <w:tblW w:type="dxa" w:w="100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7466"/>
      </w:tblGrid>
      <w:tr>
        <w:trPr>
          <w:cantSplit/>
        </w:trPr>
        <w:tc>
          <w:tcPr>
            <w:tcW w:type="dxa" w:w="2600"/>
            <w:tcBorders>
              <w:top w:val="none" w:color="FFFFFF" w:sz="0"/>
              <w:left w:val="none" w:color="FFFFFF" w:sz="0"/>
              <w:bottom w:val="dotted" w:color="BFBFBF" w:sz="4"/>
              <w:right w:val="none" w:color="FFFFFF" w:sz="0"/>
            </w:tcBorders>
            <w:tcMar>
              <w:top w:type="dxa" w:w="50"/>
              <w:left w:type="dxa" w:w="0"/>
              <w:bottom w:type="dxa" w:w="50"/>
              <w:right w:type="dxa" w:w="100"/>
            </w:tcMar>
            <w:vAlign w:val="top"/>
          </w:tcPr>
          <w:p>
            <w:pPr>
              <w:spacing w:after="0" w:before="0"/>
            </w:pPr>
            <w:r>
              <w:rPr>
                <w:rFonts w:ascii="Georgia" w:cs="Georgia" w:eastAsia="Georgia" w:hAnsi="Georgia"/>
                <w:b/>
                <w:bCs/>
                <w:color w:val="7B1E2B"/>
                <w:sz w:val="19"/>
                <w:szCs w:val="19"/>
              </w:rPr>
              <w:t xml:space="preserve">Employee ID</w:t>
            </w:r>
          </w:p>
        </w:tc>
        <w:tc>
          <w:tcPr>
            <w:tcW w:type="dxa" w:w="7466"/>
            <w:tcBorders>
              <w:top w:val="none" w:color="FFFFFF" w:sz="0"/>
              <w:left w:val="none" w:color="FFFFFF" w:sz="0"/>
              <w:bottom w:val="dotted" w:color="BFBFBF" w:sz="4"/>
              <w:right w:val="none" w:color="FFFFFF" w:sz="0"/>
            </w:tcBorders>
            <w:tcMar>
              <w:top w:type="dxa" w:w="50"/>
              <w:left w:type="dxa" w:w="100"/>
              <w:bottom w:type="dxa" w:w="50"/>
              <w:right w:type="dxa" w:w="0"/>
            </w:tcMar>
            <w:vAlign w:val="top"/>
          </w:tcPr>
          <w:p>
            <w:pPr>
              <w:spacing w:after="0" w:before="0"/>
            </w:pPr>
            <w:r>
              <w:rPr>
                <w:rFonts w:ascii="Georgia" w:cs="Georgia" w:eastAsia="Georgia" w:hAnsi="Georgia"/>
                <w:color w:val="2B2B2B"/>
                <w:sz w:val="19"/>
                <w:szCs w:val="19"/>
              </w:rPr>
              <w:t xml:space="preserve">EMP014</w:t>
            </w:r>
          </w:p>
        </w:tc>
      </w:tr>
      <w:tr>
        <w:trPr>
          <w:cantSplit/>
        </w:trPr>
        <w:tc>
          <w:tcPr>
            <w:tcW w:type="dxa" w:w="2600"/>
            <w:tcBorders>
              <w:top w:val="none" w:color="FFFFFF" w:sz="0"/>
              <w:left w:val="none" w:color="FFFFFF" w:sz="0"/>
              <w:bottom w:val="dotted" w:color="BFBFBF" w:sz="4"/>
              <w:right w:val="none" w:color="FFFFFF" w:sz="0"/>
            </w:tcBorders>
            <w:tcMar>
              <w:top w:type="dxa" w:w="50"/>
              <w:left w:type="dxa" w:w="0"/>
              <w:bottom w:type="dxa" w:w="50"/>
              <w:right w:type="dxa" w:w="100"/>
            </w:tcMar>
            <w:vAlign w:val="top"/>
          </w:tcPr>
          <w:p>
            <w:pPr>
              <w:spacing w:after="0" w:before="0"/>
            </w:pPr>
            <w:r>
              <w:rPr>
                <w:rFonts w:ascii="Georgia" w:cs="Georgia" w:eastAsia="Georgia" w:hAnsi="Georgia"/>
                <w:b/>
                <w:bCs/>
                <w:color w:val="7B1E2B"/>
                <w:sz w:val="19"/>
                <w:szCs w:val="19"/>
              </w:rPr>
              <w:t xml:space="preserve">Designation</w:t>
            </w:r>
          </w:p>
        </w:tc>
        <w:tc>
          <w:tcPr>
            <w:tcW w:type="dxa" w:w="7466"/>
            <w:tcBorders>
              <w:top w:val="none" w:color="FFFFFF" w:sz="0"/>
              <w:left w:val="none" w:color="FFFFFF" w:sz="0"/>
              <w:bottom w:val="dotted" w:color="BFBFBF" w:sz="4"/>
              <w:right w:val="none" w:color="FFFFFF" w:sz="0"/>
            </w:tcBorders>
            <w:tcMar>
              <w:top w:type="dxa" w:w="50"/>
              <w:left w:type="dxa" w:w="100"/>
              <w:bottom w:type="dxa" w:w="50"/>
              <w:right w:type="dxa" w:w="0"/>
            </w:tcMar>
            <w:vAlign w:val="top"/>
          </w:tcPr>
          <w:p>
            <w:pPr>
              <w:spacing w:after="0" w:before="0"/>
            </w:pPr>
            <w:r>
              <w:rPr>
                <w:rFonts w:ascii="Georgia" w:cs="Georgia" w:eastAsia="Georgia" w:hAnsi="Georgia"/>
                <w:color w:val="2B2B2B"/>
                <w:sz w:val="19"/>
                <w:szCs w:val="19"/>
              </w:rPr>
              <w:t xml:space="preserve">Manager</w:t>
            </w:r>
          </w:p>
        </w:tc>
      </w:tr>
      <w:tr>
        <w:trPr>
          <w:cantSplit/>
        </w:trPr>
        <w:tc>
          <w:tcPr>
            <w:tcW w:type="dxa" w:w="2600"/>
            <w:tcBorders>
              <w:top w:val="none" w:color="FFFFFF" w:sz="0"/>
              <w:left w:val="none" w:color="FFFFFF" w:sz="0"/>
              <w:bottom w:val="dotted" w:color="BFBFBF" w:sz="4"/>
              <w:right w:val="none" w:color="FFFFFF" w:sz="0"/>
            </w:tcBorders>
            <w:tcMar>
              <w:top w:type="dxa" w:w="50"/>
              <w:left w:type="dxa" w:w="0"/>
              <w:bottom w:type="dxa" w:w="50"/>
              <w:right w:type="dxa" w:w="100"/>
            </w:tcMar>
            <w:vAlign w:val="top"/>
          </w:tcPr>
          <w:p>
            <w:pPr>
              <w:spacing w:after="0" w:before="0"/>
            </w:pPr>
            <w:r>
              <w:rPr>
                <w:rFonts w:ascii="Georgia" w:cs="Georgia" w:eastAsia="Georgia" w:hAnsi="Georgia"/>
                <w:b/>
                <w:bCs/>
                <w:color w:val="7B1E2B"/>
                <w:sz w:val="19"/>
                <w:szCs w:val="19"/>
              </w:rPr>
              <w:t xml:space="preserve">Department / Team</w:t>
            </w:r>
          </w:p>
        </w:tc>
        <w:tc>
          <w:tcPr>
            <w:tcW w:type="dxa" w:w="7466"/>
            <w:tcBorders>
              <w:top w:val="none" w:color="FFFFFF" w:sz="0"/>
              <w:left w:val="none" w:color="FFFFFF" w:sz="0"/>
              <w:bottom w:val="dotted" w:color="BFBFBF" w:sz="4"/>
              <w:right w:val="none" w:color="FFFFFF" w:sz="0"/>
            </w:tcBorders>
            <w:tcMar>
              <w:top w:type="dxa" w:w="50"/>
              <w:left w:type="dxa" w:w="100"/>
              <w:bottom w:type="dxa" w:w="50"/>
              <w:right w:type="dxa" w:w="0"/>
            </w:tcMar>
            <w:vAlign w:val="top"/>
          </w:tcPr>
          <w:p>
            <w:pPr>
              <w:spacing w:after="0" w:before="0"/>
            </w:pPr>
            <w:r>
              <w:rPr>
                <w:rFonts w:ascii="Georgia" w:cs="Georgia" w:eastAsia="Georgia" w:hAnsi="Georgia"/>
                <w:color w:val="2B2B2B"/>
                <w:sz w:val="19"/>
                <w:szCs w:val="19"/>
              </w:rPr>
              <w:t xml:space="preserve">Audit &amp; Assurance</w:t>
            </w:r>
          </w:p>
        </w:tc>
      </w:tr>
      <w:tr>
        <w:trPr>
          <w:cantSplit/>
        </w:trPr>
        <w:tc>
          <w:tcPr>
            <w:tcW w:type="dxa" w:w="2600"/>
            <w:tcBorders>
              <w:top w:val="none" w:color="FFFFFF" w:sz="0"/>
              <w:left w:val="none" w:color="FFFFFF" w:sz="0"/>
              <w:bottom w:val="dotted" w:color="BFBFBF" w:sz="4"/>
              <w:right w:val="none" w:color="FFFFFF" w:sz="0"/>
            </w:tcBorders>
            <w:tcMar>
              <w:top w:type="dxa" w:w="50"/>
              <w:left w:type="dxa" w:w="0"/>
              <w:bottom w:type="dxa" w:w="50"/>
              <w:right w:type="dxa" w:w="100"/>
            </w:tcMar>
            <w:vAlign w:val="top"/>
          </w:tcPr>
          <w:p>
            <w:pPr>
              <w:spacing w:after="0" w:before="0"/>
            </w:pPr>
            <w:r>
              <w:rPr>
                <w:rFonts w:ascii="Georgia" w:cs="Georgia" w:eastAsia="Georgia" w:hAnsi="Georgia"/>
                <w:b/>
                <w:bCs/>
                <w:color w:val="7B1E2B"/>
                <w:sz w:val="19"/>
                <w:szCs w:val="19"/>
              </w:rPr>
              <w:t xml:space="preserve">Total Experience</w:t>
            </w:r>
          </w:p>
        </w:tc>
        <w:tc>
          <w:tcPr>
            <w:tcW w:type="dxa" w:w="7466"/>
            <w:tcBorders>
              <w:top w:val="none" w:color="FFFFFF" w:sz="0"/>
              <w:left w:val="none" w:color="FFFFFF" w:sz="0"/>
              <w:bottom w:val="dotted" w:color="BFBFBF" w:sz="4"/>
              <w:right w:val="none" w:color="FFFFFF" w:sz="0"/>
            </w:tcBorders>
            <w:tcMar>
              <w:top w:type="dxa" w:w="50"/>
              <w:left w:type="dxa" w:w="100"/>
              <w:bottom w:type="dxa" w:w="50"/>
              <w:right w:type="dxa" w:w="0"/>
            </w:tcMar>
            <w:vAlign w:val="top"/>
          </w:tcPr>
          <w:p>
            <w:pPr>
              <w:spacing w:after="0" w:before="0"/>
            </w:pPr>
            <w:r>
              <w:rPr>
                <w:rFonts w:ascii="Georgia" w:cs="Georgia" w:eastAsia="Georgia" w:hAnsi="Georgia"/>
                <w:color w:val="2B2B2B"/>
                <w:sz w:val="19"/>
                <w:szCs w:val="19"/>
              </w:rPr>
              <w:t xml:space="preserve">8.5 years</w:t>
            </w:r>
          </w:p>
        </w:tc>
      </w:tr>
      <w:tr>
        <w:trPr>
          <w:cantSplit/>
        </w:trPr>
        <w:tc>
          <w:tcPr>
            <w:tcW w:type="dxa" w:w="2600"/>
            <w:tcBorders>
              <w:top w:val="none" w:color="FFFFFF" w:sz="0"/>
              <w:left w:val="none" w:color="FFFFFF" w:sz="0"/>
              <w:bottom w:val="dotted" w:color="BFBFBF" w:sz="4"/>
              <w:right w:val="none" w:color="FFFFFF" w:sz="0"/>
            </w:tcBorders>
            <w:tcMar>
              <w:top w:type="dxa" w:w="50"/>
              <w:left w:type="dxa" w:w="0"/>
              <w:bottom w:type="dxa" w:w="50"/>
              <w:right w:type="dxa" w:w="100"/>
            </w:tcMar>
            <w:vAlign w:val="top"/>
          </w:tcPr>
          <w:p>
            <w:pPr>
              <w:spacing w:after="0" w:before="0"/>
            </w:pPr>
            <w:r>
              <w:rPr>
                <w:rFonts w:ascii="Georgia" w:cs="Georgia" w:eastAsia="Georgia" w:hAnsi="Georgia"/>
                <w:b/>
                <w:bCs/>
                <w:color w:val="7B1E2B"/>
                <w:sz w:val="19"/>
                <w:szCs w:val="19"/>
              </w:rPr>
              <w:t xml:space="preserve">Qualification</w:t>
            </w:r>
          </w:p>
        </w:tc>
        <w:tc>
          <w:tcPr>
            <w:tcW w:type="dxa" w:w="7466"/>
            <w:tcBorders>
              <w:top w:val="none" w:color="FFFFFF" w:sz="0"/>
              <w:left w:val="none" w:color="FFFFFF" w:sz="0"/>
              <w:bottom w:val="dotted" w:color="BFBFBF" w:sz="4"/>
              <w:right w:val="none" w:color="FFFFFF" w:sz="0"/>
            </w:tcBorders>
            <w:tcMar>
              <w:top w:type="dxa" w:w="50"/>
              <w:left w:type="dxa" w:w="100"/>
              <w:bottom w:type="dxa" w:w="50"/>
              <w:right w:type="dxa" w:w="0"/>
            </w:tcMar>
            <w:vAlign w:val="top"/>
          </w:tcPr>
          <w:p>
            <w:pPr>
              <w:spacing w:after="0" w:before="0"/>
            </w:pPr>
            <w:r>
              <w:rPr>
                <w:rFonts w:ascii="Georgia" w:cs="Georgia" w:eastAsia="Georgia" w:hAnsi="Georgia"/>
                <w:color w:val="2B2B2B"/>
                <w:sz w:val="19"/>
                <w:szCs w:val="19"/>
              </w:rPr>
              <w:t xml:space="preserve">CA, B.Com</w:t>
            </w:r>
          </w:p>
        </w:tc>
      </w:tr>
      <w:tr>
        <w:trPr>
          <w:cantSplit/>
        </w:trPr>
        <w:tc>
          <w:tcPr>
            <w:tcW w:type="dxa" w:w="2600"/>
            <w:tcBorders>
              <w:top w:val="none" w:color="FFFFFF" w:sz="0"/>
              <w:left w:val="none" w:color="FFFFFF" w:sz="0"/>
              <w:bottom w:val="dotted" w:color="BFBFBF" w:sz="4"/>
              <w:right w:val="none" w:color="FFFFFF" w:sz="0"/>
            </w:tcBorders>
            <w:tcMar>
              <w:top w:type="dxa" w:w="50"/>
              <w:left w:type="dxa" w:w="0"/>
              <w:bottom w:type="dxa" w:w="50"/>
              <w:right w:type="dxa" w:w="100"/>
            </w:tcMar>
            <w:vAlign w:val="top"/>
          </w:tcPr>
          <w:p>
            <w:pPr>
              <w:spacing w:after="0" w:before="0"/>
            </w:pPr>
            <w:r>
              <w:rPr>
                <w:rFonts w:ascii="Georgia" w:cs="Georgia" w:eastAsia="Georgia" w:hAnsi="Georgia"/>
                <w:b/>
                <w:bCs/>
                <w:color w:val="7B1E2B"/>
                <w:sz w:val="19"/>
                <w:szCs w:val="19"/>
              </w:rPr>
              <w:t xml:space="preserve">ICAI Membership</w:t>
            </w:r>
          </w:p>
        </w:tc>
        <w:tc>
          <w:tcPr>
            <w:tcW w:type="dxa" w:w="7466"/>
            <w:tcBorders>
              <w:top w:val="none" w:color="FFFFFF" w:sz="0"/>
              <w:left w:val="none" w:color="FFFFFF" w:sz="0"/>
              <w:bottom w:val="dotted" w:color="BFBFBF" w:sz="4"/>
              <w:right w:val="none" w:color="FFFFFF" w:sz="0"/>
            </w:tcBorders>
            <w:tcMar>
              <w:top w:type="dxa" w:w="50"/>
              <w:left w:type="dxa" w:w="100"/>
              <w:bottom w:type="dxa" w:w="50"/>
              <w:right w:type="dxa" w:w="0"/>
            </w:tcMar>
            <w:vAlign w:val="top"/>
          </w:tcPr>
          <w:p>
            <w:pPr>
              <w:spacing w:after="0" w:before="0"/>
            </w:pPr>
            <w:r>
              <w:rPr>
                <w:rFonts w:ascii="Georgia" w:cs="Georgia" w:eastAsia="Georgia" w:hAnsi="Georgia"/>
                <w:color w:val="2B2B2B"/>
                <w:sz w:val="19"/>
                <w:szCs w:val="19"/>
              </w:rPr>
              <w:t xml:space="preserve">Associate Member (ACA) — M.No. 123456</w:t>
            </w:r>
          </w:p>
        </w:tc>
      </w:tr>
      <w:tr>
        <w:trPr>
          <w:cantSplit/>
        </w:trPr>
        <w:tc>
          <w:tcPr>
            <w:tcW w:type="dxa" w:w="2600"/>
            <w:tcBorders>
              <w:top w:val="none" w:color="FFFFFF" w:sz="0"/>
              <w:left w:val="none" w:color="FFFFFF" w:sz="0"/>
              <w:bottom w:val="dotted" w:color="BFBFBF" w:sz="4"/>
              <w:right w:val="none" w:color="FFFFFF" w:sz="0"/>
            </w:tcBorders>
            <w:tcMar>
              <w:top w:type="dxa" w:w="50"/>
              <w:left w:type="dxa" w:w="0"/>
              <w:bottom w:type="dxa" w:w="50"/>
              <w:right w:type="dxa" w:w="100"/>
            </w:tcMar>
            <w:vAlign w:val="top"/>
          </w:tcPr>
          <w:p>
            <w:pPr>
              <w:spacing w:after="0" w:before="0"/>
            </w:pPr>
            <w:r>
              <w:rPr>
                <w:rFonts w:ascii="Georgia" w:cs="Georgia" w:eastAsia="Georgia" w:hAnsi="Georgia"/>
                <w:b/>
                <w:bCs/>
                <w:color w:val="7B1E2B"/>
                <w:sz w:val="19"/>
                <w:szCs w:val="19"/>
              </w:rPr>
              <w:t xml:space="preserve">CISA Membership</w:t>
            </w:r>
          </w:p>
        </w:tc>
        <w:tc>
          <w:tcPr>
            <w:tcW w:type="dxa" w:w="7466"/>
            <w:tcBorders>
              <w:top w:val="none" w:color="FFFFFF" w:sz="0"/>
              <w:left w:val="none" w:color="FFFFFF" w:sz="0"/>
              <w:bottom w:val="dotted" w:color="BFBFBF" w:sz="4"/>
              <w:right w:val="none" w:color="FFFFFF" w:sz="0"/>
            </w:tcBorders>
            <w:tcMar>
              <w:top w:type="dxa" w:w="50"/>
              <w:left w:type="dxa" w:w="100"/>
              <w:bottom w:type="dxa" w:w="50"/>
              <w:right w:type="dxa" w:w="0"/>
            </w:tcMar>
            <w:vAlign w:val="top"/>
          </w:tcPr>
          <w:p>
            <w:pPr>
              <w:spacing w:after="0" w:before="0"/>
            </w:pPr>
            <w:r>
              <w:rPr>
                <w:rFonts w:ascii="Georgia" w:cs="Georgia" w:eastAsia="Georgia" w:hAnsi="Georgia"/>
                <w:color w:val="2B2B2B"/>
                <w:sz w:val="19"/>
                <w:szCs w:val="19"/>
              </w:rPr>
              <w:t xml:space="preserve">ISACA — ID 22104587</w:t>
            </w:r>
          </w:p>
        </w:tc>
      </w:tr>
      <w:tr>
        <w:trPr>
          <w:cantSplit/>
        </w:trPr>
        <w:tc>
          <w:tcPr>
            <w:tcW w:type="dxa" w:w="2600"/>
            <w:tcBorders>
              <w:top w:val="none" w:color="FFFFFF" w:sz="0"/>
              <w:left w:val="none" w:color="FFFFFF" w:sz="0"/>
              <w:bottom w:val="dotted" w:color="BFBFBF" w:sz="4"/>
              <w:right w:val="none" w:color="FFFFFF" w:sz="0"/>
            </w:tcBorders>
            <w:tcMar>
              <w:top w:type="dxa" w:w="50"/>
              <w:left w:type="dxa" w:w="0"/>
              <w:bottom w:type="dxa" w:w="50"/>
              <w:right w:type="dxa" w:w="100"/>
            </w:tcMar>
            <w:vAlign w:val="top"/>
          </w:tcPr>
          <w:p>
            <w:pPr>
              <w:spacing w:after="0" w:before="0"/>
            </w:pPr>
            <w:r>
              <w:rPr>
                <w:rFonts w:ascii="Georgia" w:cs="Georgia" w:eastAsia="Georgia" w:hAnsi="Georgia"/>
                <w:b/>
                <w:bCs/>
                <w:color w:val="7B1E2B"/>
                <w:sz w:val="19"/>
                <w:szCs w:val="19"/>
              </w:rPr>
              <w:t xml:space="preserve">LinkedIn</w:t>
            </w:r>
          </w:p>
        </w:tc>
        <w:tc>
          <w:tcPr>
            <w:tcW w:type="dxa" w:w="7466"/>
            <w:tcBorders>
              <w:top w:val="none" w:color="FFFFFF" w:sz="0"/>
              <w:left w:val="none" w:color="FFFFFF" w:sz="0"/>
              <w:bottom w:val="dotted" w:color="BFBFBF" w:sz="4"/>
              <w:right w:val="none" w:color="FFFFFF" w:sz="0"/>
            </w:tcBorders>
            <w:tcMar>
              <w:top w:type="dxa" w:w="50"/>
              <w:left w:type="dxa" w:w="100"/>
              <w:bottom w:type="dxa" w:w="50"/>
              <w:right w:type="dxa" w:w="0"/>
            </w:tcMar>
            <w:vAlign w:val="top"/>
          </w:tcPr>
          <w:p>
            <w:pPr>
              <w:spacing w:after="0" w:before="0"/>
            </w:pPr>
            <w:r>
              <w:rPr>
                <w:rFonts w:ascii="Georgia" w:cs="Georgia" w:eastAsia="Georgia" w:hAnsi="Georgia"/>
                <w:color w:val="2B2B2B"/>
                <w:sz w:val="19"/>
                <w:szCs w:val="19"/>
              </w:rPr>
              <w:t xml:space="preserve">linkedin.com/in/rohansharma-ca</w:t>
            </w:r>
          </w:p>
        </w:tc>
      </w:tr>
      <w:tr>
        <w:trPr>
          <w:cantSplit/>
        </w:trPr>
        <w:tc>
          <w:tcPr>
            <w:tcW w:type="dxa" w:w="2600"/>
            <w:tcBorders>
              <w:top w:val="none" w:color="FFFFFF" w:sz="0"/>
              <w:left w:val="none" w:color="FFFFFF" w:sz="0"/>
              <w:bottom w:val="dotted" w:color="BFBFBF" w:sz="4"/>
              <w:right w:val="none" w:color="FFFFFF" w:sz="0"/>
            </w:tcBorders>
            <w:tcMar>
              <w:top w:type="dxa" w:w="50"/>
              <w:left w:type="dxa" w:w="0"/>
              <w:bottom w:type="dxa" w:w="50"/>
              <w:right w:type="dxa" w:w="100"/>
            </w:tcMar>
            <w:vAlign w:val="top"/>
          </w:tcPr>
          <w:p>
            <w:pPr>
              <w:spacing w:after="0" w:before="0"/>
            </w:pPr>
            <w:r>
              <w:rPr>
                <w:rFonts w:ascii="Georgia" w:cs="Georgia" w:eastAsia="Georgia" w:hAnsi="Georgia"/>
                <w:b/>
                <w:bCs/>
                <w:color w:val="7B1E2B"/>
                <w:sz w:val="19"/>
                <w:szCs w:val="19"/>
              </w:rPr>
              <w:t xml:space="preserve">Instagram</w:t>
            </w:r>
          </w:p>
        </w:tc>
        <w:tc>
          <w:tcPr>
            <w:tcW w:type="dxa" w:w="7466"/>
            <w:tcBorders>
              <w:top w:val="none" w:color="FFFFFF" w:sz="0"/>
              <w:left w:val="none" w:color="FFFFFF" w:sz="0"/>
              <w:bottom w:val="dotted" w:color="BFBFBF" w:sz="4"/>
              <w:right w:val="none" w:color="FFFFFF" w:sz="0"/>
            </w:tcBorders>
            <w:tcMar>
              <w:top w:type="dxa" w:w="50"/>
              <w:left w:type="dxa" w:w="100"/>
              <w:bottom w:type="dxa" w:w="50"/>
              <w:right w:type="dxa" w:w="0"/>
            </w:tcMar>
            <w:vAlign w:val="top"/>
          </w:tcPr>
          <w:p>
            <w:pPr>
              <w:spacing w:after="0" w:before="0"/>
            </w:pPr>
            <w:r>
              <w:rPr>
                <w:rFonts w:ascii="Georgia" w:cs="Georgia" w:eastAsia="Georgia" w:hAnsi="Georgia"/>
                <w:color w:val="2B2B2B"/>
                <w:sz w:val="19"/>
                <w:szCs w:val="19"/>
              </w:rPr>
              <w:t xml:space="preserve">instagram.com/rohan.sharma.ca</w:t>
            </w:r>
          </w:p>
        </w:tc>
      </w:tr>
    </w:tbl>
    <w:p>
      <w:pPr>
        <w:keepNext/>
        <w:pBdr>
          <w:bottom w:val="single" w:color="B08D57" w:sz="6" w:space="4"/>
        </w:pBdr>
        <w:spacing w:after="162" w:before="324"/>
      </w:pPr>
      <w:r>
        <w:rPr>
          <w:rFonts w:ascii="Georgia" w:cs="Georgia" w:eastAsia="Georgia" w:hAnsi="Georgia"/>
          <w:b/>
          <w:bCs/>
          <w:color w:val="7B1E2B"/>
          <w:spacing w:val="40"/>
          <w:sz w:val="23"/>
          <w:szCs w:val="23"/>
        </w:rPr>
        <w:t xml:space="preserve">AREAS OF EXPERTISE</w:t>
      </w:r>
    </w:p>
    <w:tbl>
      <w:tblPr>
        <w:tblW w:type="dxa" w:w="100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355"/>
        <w:gridCol w:w="3355"/>
        <w:gridCol w:w="3356"/>
      </w:tblGrid>
      <w:tr>
        <w:trPr>
          <w:cantSplit/>
        </w:trPr>
        <w:tc>
          <w:tcPr>
            <w:tcW w:type="dxa" w:w="3355"/>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0" w:before="0"/>
            </w:pPr>
            <w:r>
              <w:rPr>
                <w:rFonts w:ascii="Georgia" w:cs="Georgia" w:eastAsia="Georgia" w:hAnsi="Georgia"/>
                <w:color w:val="2B2B2B"/>
                <w:sz w:val="19"/>
                <w:szCs w:val="19"/>
              </w:rPr>
              <w:t xml:space="preserve">◆  Statutory Audit</w:t>
            </w:r>
          </w:p>
        </w:tc>
        <w:tc>
          <w:tcPr>
            <w:tcW w:type="dxa" w:w="3355"/>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0" w:before="0"/>
            </w:pPr>
            <w:r>
              <w:rPr>
                <w:rFonts w:ascii="Georgia" w:cs="Georgia" w:eastAsia="Georgia" w:hAnsi="Georgia"/>
                <w:color w:val="2B2B2B"/>
                <w:sz w:val="19"/>
                <w:szCs w:val="19"/>
              </w:rPr>
              <w:t xml:space="preserve">◆  Internal Financial Controls (IFC)</w:t>
            </w:r>
          </w:p>
        </w:tc>
        <w:tc>
          <w:tcPr>
            <w:tcW w:type="dxa" w:w="3356"/>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0" w:before="0"/>
            </w:pPr>
            <w:r>
              <w:rPr>
                <w:rFonts w:ascii="Georgia" w:cs="Georgia" w:eastAsia="Georgia" w:hAnsi="Georgia"/>
                <w:color w:val="2B2B2B"/>
                <w:sz w:val="19"/>
                <w:szCs w:val="19"/>
              </w:rPr>
              <w:t xml:space="preserve">◆  Ind AS</w:t>
            </w:r>
          </w:p>
        </w:tc>
      </w:tr>
      <w:tr>
        <w:trPr>
          <w:cantSplit/>
        </w:trPr>
        <w:tc>
          <w:tcPr>
            <w:tcW w:type="dxa" w:w="3355"/>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0" w:before="0"/>
            </w:pPr>
            <w:r>
              <w:rPr>
                <w:rFonts w:ascii="Georgia" w:cs="Georgia" w:eastAsia="Georgia" w:hAnsi="Georgia"/>
                <w:color w:val="2B2B2B"/>
                <w:sz w:val="19"/>
                <w:szCs w:val="19"/>
              </w:rPr>
              <w:t xml:space="preserve">◆  CARO Reporting</w:t>
            </w:r>
          </w:p>
        </w:tc>
        <w:tc>
          <w:tcPr>
            <w:tcW w:type="dxa" w:w="3355"/>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0" w:before="0"/>
            </w:pPr>
            <w:r>
              <w:rPr>
                <w:rFonts w:ascii="Georgia" w:cs="Georgia" w:eastAsia="Georgia" w:hAnsi="Georgia"/>
                <w:color w:val="2B2B2B"/>
                <w:sz w:val="19"/>
                <w:szCs w:val="19"/>
              </w:rPr>
              <w:t xml:space="preserve">◆  Forensic Audit</w:t>
            </w:r>
          </w:p>
        </w:tc>
        <w:tc>
          <w:tcPr>
            <w:tcW w:type="dxa" w:w="3356"/>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0" w:before="0"/>
            </w:pPr>
            <w:r>
              <w:rPr>
                <w:rFonts w:ascii="Georgia" w:cs="Georgia" w:eastAsia="Georgia" w:hAnsi="Georgia"/>
                <w:color w:val="2B2B2B"/>
                <w:sz w:val="19"/>
                <w:szCs w:val="19"/>
              </w:rPr>
              <w:t xml:space="preserve">◆  Due Diligence</w:t>
            </w:r>
          </w:p>
        </w:tc>
      </w:tr>
    </w:tbl>
    <w:p>
      <w:pPr>
        <w:keepNext/>
        <w:pBdr>
          <w:bottom w:val="single" w:color="B08D57" w:sz="6" w:space="4"/>
        </w:pBdr>
        <w:spacing w:after="162" w:before="324"/>
      </w:pPr>
      <w:r>
        <w:rPr>
          <w:rFonts w:ascii="Georgia" w:cs="Georgia" w:eastAsia="Georgia" w:hAnsi="Georgia"/>
          <w:b/>
          <w:bCs/>
          <w:color w:val="7B1E2B"/>
          <w:spacing w:val="40"/>
          <w:sz w:val="23"/>
          <w:szCs w:val="23"/>
        </w:rPr>
        <w:t xml:space="preserve">SECTOR EXPERIENCE</w:t>
      </w:r>
    </w:p>
    <w:tbl>
      <w:tblPr>
        <w:tblW w:type="dxa" w:w="100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355"/>
        <w:gridCol w:w="3355"/>
        <w:gridCol w:w="3356"/>
      </w:tblGrid>
      <w:tr>
        <w:trPr>
          <w:cantSplit/>
        </w:trPr>
        <w:tc>
          <w:tcPr>
            <w:tcW w:type="dxa" w:w="3355"/>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0" w:before="0"/>
            </w:pPr>
            <w:r>
              <w:rPr>
                <w:rFonts w:ascii="Georgia" w:cs="Georgia" w:eastAsia="Georgia" w:hAnsi="Georgia"/>
                <w:color w:val="2B2B2B"/>
                <w:sz w:val="19"/>
                <w:szCs w:val="19"/>
              </w:rPr>
              <w:t xml:space="preserve">◆  Banking</w:t>
            </w:r>
          </w:p>
        </w:tc>
        <w:tc>
          <w:tcPr>
            <w:tcW w:type="dxa" w:w="3355"/>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0" w:before="0"/>
            </w:pPr>
            <w:r>
              <w:rPr>
                <w:rFonts w:ascii="Georgia" w:cs="Georgia" w:eastAsia="Georgia" w:hAnsi="Georgia"/>
                <w:color w:val="2B2B2B"/>
                <w:sz w:val="19"/>
                <w:szCs w:val="19"/>
              </w:rPr>
              <w:t xml:space="preserve">◆  Financial Services</w:t>
            </w:r>
          </w:p>
        </w:tc>
        <w:tc>
          <w:tcPr>
            <w:tcW w:type="dxa" w:w="3356"/>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0" w:before="0"/>
            </w:pPr>
            <w:r>
              <w:rPr>
                <w:rFonts w:ascii="Georgia" w:cs="Georgia" w:eastAsia="Georgia" w:hAnsi="Georgia"/>
                <w:color w:val="2B2B2B"/>
                <w:sz w:val="19"/>
                <w:szCs w:val="19"/>
              </w:rPr>
              <w:t xml:space="preserve">◆  Manufacturing</w:t>
            </w:r>
          </w:p>
        </w:tc>
      </w:tr>
      <w:tr>
        <w:trPr>
          <w:cantSplit/>
        </w:trPr>
        <w:tc>
          <w:tcPr>
            <w:tcW w:type="dxa" w:w="3355"/>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0" w:before="0"/>
            </w:pPr>
            <w:r>
              <w:rPr>
                <w:rFonts w:ascii="Georgia" w:cs="Georgia" w:eastAsia="Georgia" w:hAnsi="Georgia"/>
                <w:color w:val="2B2B2B"/>
                <w:sz w:val="19"/>
                <w:szCs w:val="19"/>
              </w:rPr>
              <w:t xml:space="preserve">◆  Pharmaceuticals</w:t>
            </w:r>
          </w:p>
        </w:tc>
        <w:tc>
          <w:tcPr>
            <w:tcW w:type="dxa" w:w="3355"/>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0" w:before="0"/>
            </w:pPr>
            <w:r>
              <w:rPr>
                <w:rFonts w:ascii="Georgia" w:cs="Georgia" w:eastAsia="Georgia" w:hAnsi="Georgia"/>
                <w:color w:val="2B2B2B"/>
                <w:sz w:val="19"/>
                <w:szCs w:val="19"/>
              </w:rPr>
              <w:t xml:space="preserve">◆  Real Estate</w:t>
            </w:r>
          </w:p>
        </w:tc>
        <w:tc>
          <w:tcPr>
            <w:tcW w:type="dxa" w:w="3356"/>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0" w:before="0"/>
            </w:pPr>
            <w:r>
              <w:rPr>
                <w:rFonts w:ascii="Georgia" w:cs="Georgia" w:eastAsia="Georgia" w:hAnsi="Georgia"/>
                <w:color w:val="2B2B2B"/>
                <w:sz w:val="19"/>
                <w:szCs w:val="19"/>
              </w:rPr>
              <w:t xml:space="preserve">◆  FMCG</w:t>
            </w:r>
          </w:p>
        </w:tc>
      </w:tr>
    </w:tbl>
    <w:p>
      <w:pPr>
        <w:keepNext/>
        <w:pBdr>
          <w:bottom w:val="single" w:color="B08D57" w:sz="6" w:space="4"/>
        </w:pBdr>
        <w:spacing w:after="162" w:before="324"/>
      </w:pPr>
      <w:r>
        <w:rPr>
          <w:rFonts w:ascii="Georgia" w:cs="Georgia" w:eastAsia="Georgia" w:hAnsi="Georgia"/>
          <w:b/>
          <w:bCs/>
          <w:color w:val="7B1E2B"/>
          <w:spacing w:val="40"/>
          <w:sz w:val="23"/>
          <w:szCs w:val="23"/>
        </w:rPr>
        <w:t xml:space="preserve">EDUCATION</w:t>
      </w:r>
    </w:p>
    <w:p>
      <w:pPr>
        <w:tabs>
          <w:tab w:val="right" w:pos="10066"/>
        </w:tabs>
        <w:spacing w:after="108" w:before="0"/>
      </w:pPr>
      <w:r>
        <w:rPr>
          <w:rFonts w:ascii="Georgia" w:cs="Georgia" w:eastAsia="Georgia" w:hAnsi="Georgia"/>
          <w:b/>
          <w:bCs/>
          <w:color w:val="2B2B2B"/>
          <w:sz w:val="20"/>
          <w:szCs w:val="20"/>
        </w:rPr>
        <w:t xml:space="preserve">Chartered Accountant (CA)</w:t>
      </w:r>
      <w:r>
        <w:rPr>
          <w:rFonts w:ascii="Georgia" w:cs="Georgia" w:eastAsia="Georgia" w:hAnsi="Georgia"/>
          <w:color w:val="595959"/>
          <w:sz w:val="20"/>
          <w:szCs w:val="20"/>
        </w:rPr>
        <w:t xml:space="preserve">  —  The Institute of Chartered Accountants of India</w:t>
      </w:r>
      <w:r>
        <w:rPr>
          <w:rFonts w:ascii="Georgia" w:cs="Georgia" w:eastAsia="Georgia" w:hAnsi="Georgia"/>
          <w:b/>
          <w:bCs/>
          <w:color w:val="B08D57"/>
          <w:sz w:val="20"/>
          <w:szCs w:val="20"/>
        </w:rPr>
        <w:t xml:space="preserve">	2017</w:t>
      </w:r>
    </w:p>
    <w:p>
      <w:pPr>
        <w:tabs>
          <w:tab w:val="right" w:pos="10066"/>
        </w:tabs>
        <w:spacing w:after="108" w:before="0"/>
      </w:pPr>
      <w:r>
        <w:rPr>
          <w:rFonts w:ascii="Georgia" w:cs="Georgia" w:eastAsia="Georgia" w:hAnsi="Georgia"/>
          <w:b/>
          <w:bCs/>
          <w:color w:val="2B2B2B"/>
          <w:sz w:val="20"/>
          <w:szCs w:val="20"/>
        </w:rPr>
        <w:t xml:space="preserve">Bachelor of Commerce (B.Com)</w:t>
      </w:r>
      <w:r>
        <w:rPr>
          <w:rFonts w:ascii="Georgia" w:cs="Georgia" w:eastAsia="Georgia" w:hAnsi="Georgia"/>
          <w:color w:val="595959"/>
          <w:sz w:val="20"/>
          <w:szCs w:val="20"/>
        </w:rPr>
        <w:t xml:space="preserve">  —  University of Mumbai</w:t>
      </w:r>
      <w:r>
        <w:rPr>
          <w:rFonts w:ascii="Georgia" w:cs="Georgia" w:eastAsia="Georgia" w:hAnsi="Georgia"/>
          <w:b/>
          <w:bCs/>
          <w:color w:val="B08D57"/>
          <w:sz w:val="20"/>
          <w:szCs w:val="20"/>
        </w:rPr>
        <w:t xml:space="preserve">	2014</w:t>
      </w:r>
    </w:p>
    <w:p>
      <w:pPr>
        <w:keepNext/>
        <w:pBdr>
          <w:bottom w:val="single" w:color="B08D57" w:sz="6" w:space="4"/>
        </w:pBdr>
        <w:spacing w:after="162" w:before="324"/>
      </w:pPr>
      <w:r>
        <w:rPr>
          <w:rFonts w:ascii="Georgia" w:cs="Georgia" w:eastAsia="Georgia" w:hAnsi="Georgia"/>
          <w:b/>
          <w:bCs/>
          <w:color w:val="7B1E2B"/>
          <w:spacing w:val="40"/>
          <w:sz w:val="23"/>
          <w:szCs w:val="23"/>
        </w:rPr>
        <w:t xml:space="preserve">ADDITIONAL SKILLS</w:t>
      </w:r>
    </w:p>
    <w:p>
      <w:pPr>
        <w:spacing w:after="81" w:before="0" w:line="276"/>
      </w:pPr>
      <w:r>
        <w:rPr>
          <w:rFonts w:ascii="Georgia" w:cs="Georgia" w:eastAsia="Georgia" w:hAnsi="Georgia"/>
          <w:color w:val="2B2B2B"/>
          <w:sz w:val="20"/>
          <w:szCs w:val="20"/>
        </w:rPr>
        <w:t xml:space="preserve">Risk Assessment  ·  Concurrent Audit  ·  Consolidation of Financial Statements  ·  GST Compliance  ·  Transfer Pricing  ·  SAP  ·  Power BI  ·  Advanced Excel  ·  Team Management  ·  Client Communication</w:t>
      </w:r>
    </w:p>
    <w:p>
      <w:pPr>
        <w:spacing w:after="0" w:before="0"/>
      </w:pPr>
      <w:r>
        <w:br w:type="page"/>
      </w:r>
    </w:p>
    <w:p>
      <w:pPr>
        <w:pBdr>
          <w:bottom w:val="single" w:color="7B1E2B" w:sz="4" w:space="4"/>
        </w:pBdr>
        <w:spacing w:after="81" w:before="0"/>
      </w:pPr>
      <w:r>
        <w:rPr>
          <w:rFonts w:ascii="Georgia" w:cs="Georgia" w:eastAsia="Georgia" w:hAnsi="Georgia"/>
          <w:b/>
          <w:bCs/>
          <w:color w:val="7B1E2B"/>
          <w:spacing w:val="40"/>
          <w:sz w:val="20"/>
          <w:szCs w:val="20"/>
        </w:rPr>
        <w:t xml:space="preserve">ROHAN ARVIND SHARMA</w:t>
      </w:r>
      <w:r>
        <w:rPr>
          <w:rFonts w:ascii="Georgia" w:cs="Georgia" w:eastAsia="Georgia" w:hAnsi="Georgia"/>
          <w:i/>
          <w:iCs/>
          <w:color w:val="B08D57"/>
          <w:sz w:val="18"/>
          <w:szCs w:val="18"/>
        </w:rPr>
        <w:t xml:space="preserve">   ·   Curriculum Vitae (continued)</w:t>
      </w:r>
    </w:p>
    <w:p>
      <w:pPr>
        <w:keepNext/>
        <w:pBdr>
          <w:bottom w:val="single" w:color="B08D57" w:sz="6" w:space="4"/>
        </w:pBdr>
        <w:spacing w:after="162" w:before="324"/>
      </w:pPr>
      <w:r>
        <w:rPr>
          <w:rFonts w:ascii="Georgia" w:cs="Georgia" w:eastAsia="Georgia" w:hAnsi="Georgia"/>
          <w:b/>
          <w:bCs/>
          <w:color w:val="7B1E2B"/>
          <w:spacing w:val="40"/>
          <w:sz w:val="23"/>
          <w:szCs w:val="23"/>
        </w:rPr>
        <w:t xml:space="preserve">PROFESSIONAL EXPERIENCE</w:t>
      </w:r>
    </w:p>
    <w:p>
      <w:pPr>
        <w:keepNext/>
        <w:tabs>
          <w:tab w:val="right" w:pos="10066"/>
        </w:tabs>
        <w:spacing w:after="0" w:before="0"/>
      </w:pPr>
      <w:r>
        <w:rPr>
          <w:rFonts w:ascii="Georgia" w:cs="Georgia" w:eastAsia="Georgia" w:hAnsi="Georgia"/>
          <w:b/>
          <w:bCs/>
          <w:color w:val="2B2B2B"/>
          <w:sz w:val="22"/>
          <w:szCs w:val="22"/>
        </w:rPr>
        <w:t xml:space="preserve">JHS &amp; Associates LLP</w:t>
      </w:r>
      <w:r>
        <w:rPr>
          <w:rFonts w:ascii="Georgia" w:cs="Georgia" w:eastAsia="Georgia" w:hAnsi="Georgia"/>
          <w:i/>
          <w:iCs/>
          <w:color w:val="B08D57"/>
          <w:sz w:val="19"/>
          <w:szCs w:val="19"/>
        </w:rPr>
        <w:t xml:space="preserve">	Apr 2021 – Present</w:t>
      </w:r>
    </w:p>
    <w:p>
      <w:pPr>
        <w:keepNext/>
        <w:spacing w:after="81" w:before="0"/>
      </w:pPr>
      <w:r>
        <w:rPr>
          <w:rFonts w:ascii="Georgia" w:cs="Georgia" w:eastAsia="Georgia" w:hAnsi="Georgia"/>
          <w:i/>
          <w:iCs/>
          <w:color w:val="7B1E2B"/>
          <w:sz w:val="19"/>
          <w:szCs w:val="19"/>
        </w:rPr>
        <w:t xml:space="preserve">Manager — Audit &amp; Assurance  (5.5 years)</w:t>
      </w:r>
    </w:p>
    <w:p>
      <w:pPr>
        <w:pStyle w:val="ListParagraph"/>
        <w:numPr>
          <w:ilvl w:val="0"/>
          <w:numId w:val="2"/>
        </w:numPr>
        <w:spacing w:after="41" w:before="0" w:line="276"/>
      </w:pPr>
      <w:r>
        <w:rPr>
          <w:rFonts w:ascii="Georgia" w:cs="Georgia" w:eastAsia="Georgia" w:hAnsi="Georgia"/>
          <w:color w:val="2B2B2B"/>
          <w:sz w:val="20"/>
          <w:szCs w:val="20"/>
        </w:rPr>
        <w:t xml:space="preserve">Manages statutory audits of listed and unlisted entities in banking, NBFC and manufacturing sectors with turnover up to ₹5,000 Cr</w:t>
      </w:r>
    </w:p>
    <w:p>
      <w:pPr>
        <w:pStyle w:val="ListParagraph"/>
        <w:numPr>
          <w:ilvl w:val="0"/>
          <w:numId w:val="2"/>
        </w:numPr>
        <w:spacing w:after="41" w:before="0" w:line="276"/>
      </w:pPr>
      <w:r>
        <w:rPr>
          <w:rFonts w:ascii="Georgia" w:cs="Georgia" w:eastAsia="Georgia" w:hAnsi="Georgia"/>
          <w:color w:val="2B2B2B"/>
          <w:sz w:val="20"/>
          <w:szCs w:val="20"/>
        </w:rPr>
        <w:t xml:space="preserve">Reviews IFC / ICFR testing, CARO reporting and draft audit reports before partner sign-off</w:t>
      </w:r>
    </w:p>
    <w:p>
      <w:pPr>
        <w:pStyle w:val="ListParagraph"/>
        <w:numPr>
          <w:ilvl w:val="0"/>
          <w:numId w:val="2"/>
        </w:numPr>
        <w:spacing w:after="41" w:before="0" w:line="276"/>
      </w:pPr>
      <w:r>
        <w:rPr>
          <w:rFonts w:ascii="Georgia" w:cs="Georgia" w:eastAsia="Georgia" w:hAnsi="Georgia"/>
          <w:color w:val="2B2B2B"/>
          <w:sz w:val="20"/>
          <w:szCs w:val="20"/>
        </w:rPr>
        <w:t xml:space="preserve">Leads Ind AS transition and financial statement preparation engagements</w:t>
      </w:r>
    </w:p>
    <w:p>
      <w:pPr>
        <w:pStyle w:val="ListParagraph"/>
        <w:numPr>
          <w:ilvl w:val="0"/>
          <w:numId w:val="2"/>
        </w:numPr>
        <w:spacing w:after="41" w:before="0" w:line="276"/>
      </w:pPr>
      <w:r>
        <w:rPr>
          <w:rFonts w:ascii="Georgia" w:cs="Georgia" w:eastAsia="Georgia" w:hAnsi="Georgia"/>
          <w:color w:val="2B2B2B"/>
          <w:sz w:val="20"/>
          <w:szCs w:val="20"/>
        </w:rPr>
        <w:t xml:space="preserve">Supervises and mentors a team of 8 associates; drives audit-analytics adoption using Power BI</w:t>
      </w:r>
    </w:p>
    <w:p>
      <w:pPr>
        <w:spacing w:after="0" w:before="0" w:line="140" w:lineRule="exact"/>
      </w:pPr>
    </w:p>
    <w:p>
      <w:pPr>
        <w:keepNext/>
        <w:tabs>
          <w:tab w:val="right" w:pos="10066"/>
        </w:tabs>
        <w:spacing w:after="0" w:before="0"/>
      </w:pPr>
      <w:r>
        <w:rPr>
          <w:rFonts w:ascii="Georgia" w:cs="Georgia" w:eastAsia="Georgia" w:hAnsi="Georgia"/>
          <w:b/>
          <w:bCs/>
          <w:color w:val="2B2B2B"/>
          <w:sz w:val="22"/>
          <w:szCs w:val="22"/>
        </w:rPr>
        <w:t xml:space="preserve">Mehta Kapoor &amp; Co., Chartered Accountants</w:t>
      </w:r>
      <w:r>
        <w:rPr>
          <w:rFonts w:ascii="Georgia" w:cs="Georgia" w:eastAsia="Georgia" w:hAnsi="Georgia"/>
          <w:i/>
          <w:iCs/>
          <w:color w:val="B08D57"/>
          <w:sz w:val="19"/>
          <w:szCs w:val="19"/>
        </w:rPr>
        <w:t xml:space="preserve">	Jul 2018 – Mar 2021</w:t>
      </w:r>
    </w:p>
    <w:p>
      <w:pPr>
        <w:keepNext/>
        <w:spacing w:after="81" w:before="0"/>
      </w:pPr>
      <w:r>
        <w:rPr>
          <w:rFonts w:ascii="Georgia" w:cs="Georgia" w:eastAsia="Georgia" w:hAnsi="Georgia"/>
          <w:i/>
          <w:iCs/>
          <w:color w:val="7B1E2B"/>
          <w:sz w:val="19"/>
          <w:szCs w:val="19"/>
        </w:rPr>
        <w:t xml:space="preserve">Assistant Manager  (2.75 years)</w:t>
      </w:r>
    </w:p>
    <w:p>
      <w:pPr>
        <w:pStyle w:val="ListParagraph"/>
        <w:numPr>
          <w:ilvl w:val="0"/>
          <w:numId w:val="2"/>
        </w:numPr>
        <w:spacing w:after="41" w:before="0" w:line="276"/>
      </w:pPr>
      <w:r>
        <w:rPr>
          <w:rFonts w:ascii="Georgia" w:cs="Georgia" w:eastAsia="Georgia" w:hAnsi="Georgia"/>
          <w:color w:val="2B2B2B"/>
          <w:sz w:val="20"/>
          <w:szCs w:val="20"/>
        </w:rPr>
        <w:t xml:space="preserve">Executed concurrent and internal audits of public-sector bank branches</w:t>
      </w:r>
    </w:p>
    <w:p>
      <w:pPr>
        <w:pStyle w:val="ListParagraph"/>
        <w:numPr>
          <w:ilvl w:val="0"/>
          <w:numId w:val="2"/>
        </w:numPr>
        <w:spacing w:after="41" w:before="0" w:line="276"/>
      </w:pPr>
      <w:r>
        <w:rPr>
          <w:rFonts w:ascii="Georgia" w:cs="Georgia" w:eastAsia="Georgia" w:hAnsi="Georgia"/>
          <w:color w:val="2B2B2B"/>
          <w:sz w:val="20"/>
          <w:szCs w:val="20"/>
        </w:rPr>
        <w:t xml:space="preserve">Performed forensic review of vendor payments for a pharmaceutical client</w:t>
      </w:r>
    </w:p>
    <w:p>
      <w:pPr>
        <w:pStyle w:val="ListParagraph"/>
        <w:numPr>
          <w:ilvl w:val="0"/>
          <w:numId w:val="2"/>
        </w:numPr>
        <w:spacing w:after="41" w:before="0" w:line="276"/>
      </w:pPr>
      <w:r>
        <w:rPr>
          <w:rFonts w:ascii="Georgia" w:cs="Georgia" w:eastAsia="Georgia" w:hAnsi="Georgia"/>
          <w:color w:val="2B2B2B"/>
          <w:sz w:val="20"/>
          <w:szCs w:val="20"/>
        </w:rPr>
        <w:t xml:space="preserve">Prepared consolidated financial statements for a real-estate group with 12 subsidiaries</w:t>
      </w:r>
    </w:p>
    <w:p>
      <w:pPr>
        <w:spacing w:after="0" w:before="0" w:line="140" w:lineRule="exact"/>
      </w:pPr>
    </w:p>
    <w:p>
      <w:pPr>
        <w:keepNext/>
        <w:tabs>
          <w:tab w:val="right" w:pos="10066"/>
        </w:tabs>
        <w:spacing w:after="0" w:before="0"/>
      </w:pPr>
      <w:r>
        <w:rPr>
          <w:rFonts w:ascii="Georgia" w:cs="Georgia" w:eastAsia="Georgia" w:hAnsi="Georgia"/>
          <w:b/>
          <w:bCs/>
          <w:color w:val="2B2B2B"/>
          <w:sz w:val="22"/>
          <w:szCs w:val="22"/>
        </w:rPr>
        <w:t xml:space="preserve">Sterling Advisory Services LLP</w:t>
      </w:r>
      <w:r>
        <w:rPr>
          <w:rFonts w:ascii="Georgia" w:cs="Georgia" w:eastAsia="Georgia" w:hAnsi="Georgia"/>
          <w:i/>
          <w:iCs/>
          <w:color w:val="B08D57"/>
          <w:sz w:val="19"/>
          <w:szCs w:val="19"/>
        </w:rPr>
        <w:t xml:space="preserve">	Jan 2018 – Jun 2018</w:t>
      </w:r>
    </w:p>
    <w:p>
      <w:pPr>
        <w:keepNext/>
        <w:spacing w:after="81" w:before="0"/>
      </w:pPr>
      <w:r>
        <w:rPr>
          <w:rFonts w:ascii="Georgia" w:cs="Georgia" w:eastAsia="Georgia" w:hAnsi="Georgia"/>
          <w:i/>
          <w:iCs/>
          <w:color w:val="7B1E2B"/>
          <w:sz w:val="19"/>
          <w:szCs w:val="19"/>
        </w:rPr>
        <w:t xml:space="preserve">Audit Executive  (0.5 years)</w:t>
      </w:r>
    </w:p>
    <w:p>
      <w:pPr>
        <w:pStyle w:val="ListParagraph"/>
        <w:numPr>
          <w:ilvl w:val="0"/>
          <w:numId w:val="2"/>
        </w:numPr>
        <w:spacing w:after="41" w:before="0" w:line="276"/>
      </w:pPr>
      <w:r>
        <w:rPr>
          <w:rFonts w:ascii="Georgia" w:cs="Georgia" w:eastAsia="Georgia" w:hAnsi="Georgia"/>
          <w:color w:val="2B2B2B"/>
          <w:sz w:val="20"/>
          <w:szCs w:val="20"/>
        </w:rPr>
        <w:t xml:space="preserve">Assisted in financial due diligence for two mid-market acquisitions in the FMCG sector</w:t>
      </w:r>
    </w:p>
    <w:p>
      <w:pPr>
        <w:spacing w:after="0" w:before="0" w:line="140" w:lineRule="exact"/>
      </w:pPr>
    </w:p>
    <w:p>
      <w:pPr>
        <w:keepNext/>
        <w:pBdr>
          <w:bottom w:val="single" w:color="B08D57" w:sz="6" w:space="4"/>
        </w:pBdr>
        <w:spacing w:after="162" w:before="324"/>
      </w:pPr>
      <w:r>
        <w:rPr>
          <w:rFonts w:ascii="Georgia" w:cs="Georgia" w:eastAsia="Georgia" w:hAnsi="Georgia"/>
          <w:b/>
          <w:bCs/>
          <w:color w:val="7B1E2B"/>
          <w:spacing w:val="40"/>
          <w:sz w:val="23"/>
          <w:szCs w:val="23"/>
        </w:rPr>
        <w:t xml:space="preserve">KEY ASSIGNMENTS</w:t>
      </w:r>
    </w:p>
    <w:tbl>
      <w:tblPr>
        <w:tblW w:type="dxa" w:w="100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17"/>
        <w:gridCol w:w="5033"/>
        <w:gridCol w:w="2416"/>
      </w:tblGrid>
      <w:tr>
        <w:trPr>
          <w:cantSplit/>
        </w:trPr>
        <w:tc>
          <w:tcPr>
            <w:tcW w:type="dxa" w:w="2617"/>
            <w:tcBorders>
              <w:top w:val="none" w:color="FFFFFF" w:sz="0"/>
              <w:left w:val="none" w:color="FFFFFF" w:sz="0"/>
              <w:bottom w:val="none" w:color="FFFFFF" w:sz="0"/>
              <w:right w:val="none" w:color="FFFFFF" w:sz="0"/>
            </w:tcBorders>
            <w:shd w:fill="7B1E2B" w:color="auto" w:val="clear"/>
            <w:tcMar>
              <w:top w:type="dxa" w:w="60"/>
              <w:left w:type="dxa" w:w="100"/>
              <w:bottom w:type="dxa" w:w="60"/>
              <w:right w:type="dxa" w:w="100"/>
            </w:tcMar>
            <w:vAlign w:val="top"/>
          </w:tcPr>
          <w:p>
            <w:pPr>
              <w:spacing w:after="0" w:before="0"/>
            </w:pPr>
            <w:r>
              <w:rPr>
                <w:rFonts w:ascii="Georgia" w:cs="Georgia" w:eastAsia="Georgia" w:hAnsi="Georgia"/>
                <w:b/>
                <w:bCs/>
                <w:color w:val="FFFFFF"/>
                <w:sz w:val="18"/>
                <w:szCs w:val="18"/>
              </w:rPr>
              <w:t xml:space="preserve">Assignment</w:t>
            </w:r>
          </w:p>
        </w:tc>
        <w:tc>
          <w:tcPr>
            <w:tcW w:type="dxa" w:w="5033"/>
            <w:tcBorders>
              <w:top w:val="none" w:color="FFFFFF" w:sz="0"/>
              <w:left w:val="none" w:color="FFFFFF" w:sz="0"/>
              <w:bottom w:val="none" w:color="FFFFFF" w:sz="0"/>
              <w:right w:val="none" w:color="FFFFFF" w:sz="0"/>
            </w:tcBorders>
            <w:shd w:fill="7B1E2B" w:color="auto" w:val="clear"/>
            <w:tcMar>
              <w:top w:type="dxa" w:w="60"/>
              <w:left w:type="dxa" w:w="100"/>
              <w:bottom w:type="dxa" w:w="60"/>
              <w:right w:type="dxa" w:w="100"/>
            </w:tcMar>
            <w:vAlign w:val="top"/>
          </w:tcPr>
          <w:p>
            <w:pPr>
              <w:spacing w:after="0" w:before="0"/>
            </w:pPr>
            <w:r>
              <w:rPr>
                <w:rFonts w:ascii="Georgia" w:cs="Georgia" w:eastAsia="Georgia" w:hAnsi="Georgia"/>
                <w:b/>
                <w:bCs/>
                <w:color w:val="FFFFFF"/>
                <w:sz w:val="18"/>
                <w:szCs w:val="18"/>
              </w:rPr>
              <w:t xml:space="preserve">Client / Scope</w:t>
            </w:r>
          </w:p>
        </w:tc>
        <w:tc>
          <w:tcPr>
            <w:tcW w:type="dxa" w:w="2416"/>
            <w:tcBorders>
              <w:top w:val="none" w:color="FFFFFF" w:sz="0"/>
              <w:left w:val="none" w:color="FFFFFF" w:sz="0"/>
              <w:bottom w:val="none" w:color="FFFFFF" w:sz="0"/>
              <w:right w:val="none" w:color="FFFFFF" w:sz="0"/>
            </w:tcBorders>
            <w:shd w:fill="7B1E2B" w:color="auto" w:val="clear"/>
            <w:tcMar>
              <w:top w:type="dxa" w:w="60"/>
              <w:left w:type="dxa" w:w="100"/>
              <w:bottom w:type="dxa" w:w="60"/>
              <w:right w:type="dxa" w:w="100"/>
            </w:tcMar>
            <w:vAlign w:val="top"/>
          </w:tcPr>
          <w:p>
            <w:pPr>
              <w:spacing w:after="0" w:before="0"/>
            </w:pPr>
            <w:r>
              <w:rPr>
                <w:rFonts w:ascii="Georgia" w:cs="Georgia" w:eastAsia="Georgia" w:hAnsi="Georgia"/>
                <w:b/>
                <w:bCs/>
                <w:color w:val="FFFFFF"/>
                <w:sz w:val="18"/>
                <w:szCs w:val="18"/>
              </w:rPr>
              <w:t xml:space="preserve">Sector</w:t>
            </w:r>
          </w:p>
        </w:tc>
      </w:tr>
      <w:tr>
        <w:trPr>
          <w:cantSplit/>
        </w:trPr>
        <w:tc>
          <w:tcPr>
            <w:tcW w:type="dxa" w:w="2617"/>
            <w:tcBorders>
              <w:top w:val="single" w:color="D9CBB5" w:sz="4"/>
              <w:left w:val="none" w:color="FFFFFF" w:sz="0"/>
              <w:bottom w:val="single" w:color="D9CBB5" w:sz="4"/>
              <w:right w:val="none" w:color="FFFFFF" w:sz="0"/>
            </w:tcBorders>
            <w:tcMar>
              <w:top w:type="dxa" w:w="50"/>
              <w:left w:type="dxa" w:w="100"/>
              <w:bottom w:type="dxa" w:w="50"/>
              <w:right w:type="dxa" w:w="100"/>
            </w:tcMar>
            <w:vAlign w:val="top"/>
          </w:tcPr>
          <w:p>
            <w:pPr>
              <w:spacing w:after="0" w:before="0"/>
            </w:pPr>
            <w:r>
              <w:rPr>
                <w:rFonts w:ascii="Georgia" w:cs="Georgia" w:eastAsia="Georgia" w:hAnsi="Georgia"/>
                <w:b/>
                <w:bCs/>
                <w:color w:val="2B2B2B"/>
                <w:sz w:val="18"/>
                <w:szCs w:val="18"/>
              </w:rPr>
              <w:t xml:space="preserve">Statutory Audit</w:t>
            </w:r>
          </w:p>
        </w:tc>
        <w:tc>
          <w:tcPr>
            <w:tcW w:type="dxa" w:w="5033"/>
            <w:tcBorders>
              <w:top w:val="single" w:color="D9CBB5" w:sz="4"/>
              <w:left w:val="none" w:color="FFFFFF" w:sz="0"/>
              <w:bottom w:val="single" w:color="D9CBB5" w:sz="4"/>
              <w:right w:val="none" w:color="FFFFFF" w:sz="0"/>
            </w:tcBorders>
            <w:tcMar>
              <w:top w:type="dxa" w:w="50"/>
              <w:left w:type="dxa" w:w="100"/>
              <w:bottom w:type="dxa" w:w="50"/>
              <w:right w:type="dxa" w:w="100"/>
            </w:tcMar>
            <w:vAlign w:val="top"/>
          </w:tcPr>
          <w:p>
            <w:pPr>
              <w:spacing w:after="0" w:before="0"/>
            </w:pPr>
            <w:r>
              <w:rPr>
                <w:rFonts w:ascii="Georgia" w:cs="Georgia" w:eastAsia="Georgia" w:hAnsi="Georgia"/>
                <w:b w:val="false"/>
                <w:bCs w:val="false"/>
                <w:color w:val="2B2B2B"/>
                <w:sz w:val="18"/>
                <w:szCs w:val="18"/>
              </w:rPr>
              <w:t xml:space="preserve">Listed NBFC (AUM ₹4,500 Cr)</w:t>
            </w:r>
          </w:p>
        </w:tc>
        <w:tc>
          <w:tcPr>
            <w:tcW w:type="dxa" w:w="2416"/>
            <w:tcBorders>
              <w:top w:val="single" w:color="D9CBB5" w:sz="4"/>
              <w:left w:val="none" w:color="FFFFFF" w:sz="0"/>
              <w:bottom w:val="single" w:color="D9CBB5" w:sz="4"/>
              <w:right w:val="none" w:color="FFFFFF" w:sz="0"/>
            </w:tcBorders>
            <w:tcMar>
              <w:top w:type="dxa" w:w="50"/>
              <w:left w:type="dxa" w:w="100"/>
              <w:bottom w:type="dxa" w:w="50"/>
              <w:right w:type="dxa" w:w="100"/>
            </w:tcMar>
            <w:vAlign w:val="top"/>
          </w:tcPr>
          <w:p>
            <w:pPr>
              <w:spacing w:after="0" w:before="0"/>
            </w:pPr>
            <w:r>
              <w:rPr>
                <w:rFonts w:ascii="Georgia" w:cs="Georgia" w:eastAsia="Georgia" w:hAnsi="Georgia"/>
                <w:b w:val="false"/>
                <w:bCs w:val="false"/>
                <w:color w:val="2B2B2B"/>
                <w:sz w:val="18"/>
                <w:szCs w:val="18"/>
              </w:rPr>
              <w:t xml:space="preserve">Banking / NBFC</w:t>
            </w:r>
          </w:p>
        </w:tc>
      </w:tr>
      <w:tr>
        <w:trPr>
          <w:cantSplit/>
        </w:trPr>
        <w:tc>
          <w:tcPr>
            <w:tcW w:type="dxa" w:w="2617"/>
            <w:tcBorders>
              <w:top w:val="single" w:color="D9CBB5" w:sz="4"/>
              <w:left w:val="none" w:color="FFFFFF" w:sz="0"/>
              <w:bottom w:val="single" w:color="D9CBB5" w:sz="4"/>
              <w:right w:val="none" w:color="FFFFFF" w:sz="0"/>
            </w:tcBorders>
            <w:shd w:fill="F7F1EC" w:color="auto" w:val="clear"/>
            <w:tcMar>
              <w:top w:type="dxa" w:w="50"/>
              <w:left w:type="dxa" w:w="100"/>
              <w:bottom w:type="dxa" w:w="50"/>
              <w:right w:type="dxa" w:w="100"/>
            </w:tcMar>
            <w:vAlign w:val="top"/>
          </w:tcPr>
          <w:p>
            <w:pPr>
              <w:spacing w:after="0" w:before="0"/>
            </w:pPr>
            <w:r>
              <w:rPr>
                <w:rFonts w:ascii="Georgia" w:cs="Georgia" w:eastAsia="Georgia" w:hAnsi="Georgia"/>
                <w:b/>
                <w:bCs/>
                <w:color w:val="2B2B2B"/>
                <w:sz w:val="18"/>
                <w:szCs w:val="18"/>
              </w:rPr>
              <w:t xml:space="preserve">Ind AS Transition</w:t>
            </w:r>
          </w:p>
        </w:tc>
        <w:tc>
          <w:tcPr>
            <w:tcW w:type="dxa" w:w="5033"/>
            <w:tcBorders>
              <w:top w:val="single" w:color="D9CBB5" w:sz="4"/>
              <w:left w:val="none" w:color="FFFFFF" w:sz="0"/>
              <w:bottom w:val="single" w:color="D9CBB5" w:sz="4"/>
              <w:right w:val="none" w:color="FFFFFF" w:sz="0"/>
            </w:tcBorders>
            <w:shd w:fill="F7F1EC" w:color="auto" w:val="clear"/>
            <w:tcMar>
              <w:top w:type="dxa" w:w="50"/>
              <w:left w:type="dxa" w:w="100"/>
              <w:bottom w:type="dxa" w:w="50"/>
              <w:right w:type="dxa" w:w="100"/>
            </w:tcMar>
            <w:vAlign w:val="top"/>
          </w:tcPr>
          <w:p>
            <w:pPr>
              <w:spacing w:after="0" w:before="0"/>
            </w:pPr>
            <w:r>
              <w:rPr>
                <w:rFonts w:ascii="Georgia" w:cs="Georgia" w:eastAsia="Georgia" w:hAnsi="Georgia"/>
                <w:b w:val="false"/>
                <w:bCs w:val="false"/>
                <w:color w:val="2B2B2B"/>
                <w:sz w:val="18"/>
                <w:szCs w:val="18"/>
              </w:rPr>
              <w:t xml:space="preserve">Mid-size housing finance company</w:t>
            </w:r>
          </w:p>
        </w:tc>
        <w:tc>
          <w:tcPr>
            <w:tcW w:type="dxa" w:w="2416"/>
            <w:tcBorders>
              <w:top w:val="single" w:color="D9CBB5" w:sz="4"/>
              <w:left w:val="none" w:color="FFFFFF" w:sz="0"/>
              <w:bottom w:val="single" w:color="D9CBB5" w:sz="4"/>
              <w:right w:val="none" w:color="FFFFFF" w:sz="0"/>
            </w:tcBorders>
            <w:shd w:fill="F7F1EC" w:color="auto" w:val="clear"/>
            <w:tcMar>
              <w:top w:type="dxa" w:w="50"/>
              <w:left w:type="dxa" w:w="100"/>
              <w:bottom w:type="dxa" w:w="50"/>
              <w:right w:type="dxa" w:w="100"/>
            </w:tcMar>
            <w:vAlign w:val="top"/>
          </w:tcPr>
          <w:p>
            <w:pPr>
              <w:spacing w:after="0" w:before="0"/>
            </w:pPr>
            <w:r>
              <w:rPr>
                <w:rFonts w:ascii="Georgia" w:cs="Georgia" w:eastAsia="Georgia" w:hAnsi="Georgia"/>
                <w:b w:val="false"/>
                <w:bCs w:val="false"/>
                <w:color w:val="2B2B2B"/>
                <w:sz w:val="18"/>
                <w:szCs w:val="18"/>
              </w:rPr>
              <w:t xml:space="preserve">Financial Services</w:t>
            </w:r>
          </w:p>
        </w:tc>
      </w:tr>
      <w:tr>
        <w:trPr>
          <w:cantSplit/>
        </w:trPr>
        <w:tc>
          <w:tcPr>
            <w:tcW w:type="dxa" w:w="2617"/>
            <w:tcBorders>
              <w:top w:val="single" w:color="D9CBB5" w:sz="4"/>
              <w:left w:val="none" w:color="FFFFFF" w:sz="0"/>
              <w:bottom w:val="single" w:color="D9CBB5" w:sz="4"/>
              <w:right w:val="none" w:color="FFFFFF" w:sz="0"/>
            </w:tcBorders>
            <w:tcMar>
              <w:top w:type="dxa" w:w="50"/>
              <w:left w:type="dxa" w:w="100"/>
              <w:bottom w:type="dxa" w:w="50"/>
              <w:right w:type="dxa" w:w="100"/>
            </w:tcMar>
            <w:vAlign w:val="top"/>
          </w:tcPr>
          <w:p>
            <w:pPr>
              <w:spacing w:after="0" w:before="0"/>
            </w:pPr>
            <w:r>
              <w:rPr>
                <w:rFonts w:ascii="Georgia" w:cs="Georgia" w:eastAsia="Georgia" w:hAnsi="Georgia"/>
                <w:b/>
                <w:bCs/>
                <w:color w:val="2B2B2B"/>
                <w:sz w:val="18"/>
                <w:szCs w:val="18"/>
              </w:rPr>
              <w:t xml:space="preserve">IFC Testing</w:t>
            </w:r>
          </w:p>
        </w:tc>
        <w:tc>
          <w:tcPr>
            <w:tcW w:type="dxa" w:w="5033"/>
            <w:tcBorders>
              <w:top w:val="single" w:color="D9CBB5" w:sz="4"/>
              <w:left w:val="none" w:color="FFFFFF" w:sz="0"/>
              <w:bottom w:val="single" w:color="D9CBB5" w:sz="4"/>
              <w:right w:val="none" w:color="FFFFFF" w:sz="0"/>
            </w:tcBorders>
            <w:tcMar>
              <w:top w:type="dxa" w:w="50"/>
              <w:left w:type="dxa" w:w="100"/>
              <w:bottom w:type="dxa" w:w="50"/>
              <w:right w:type="dxa" w:w="100"/>
            </w:tcMar>
            <w:vAlign w:val="top"/>
          </w:tcPr>
          <w:p>
            <w:pPr>
              <w:spacing w:after="0" w:before="0"/>
            </w:pPr>
            <w:r>
              <w:rPr>
                <w:rFonts w:ascii="Georgia" w:cs="Georgia" w:eastAsia="Georgia" w:hAnsi="Georgia"/>
                <w:b w:val="false"/>
                <w:bCs w:val="false"/>
                <w:color w:val="2B2B2B"/>
                <w:sz w:val="18"/>
                <w:szCs w:val="18"/>
              </w:rPr>
              <w:t xml:space="preserve">Auto-component manufacturer, 5 plants</w:t>
            </w:r>
          </w:p>
        </w:tc>
        <w:tc>
          <w:tcPr>
            <w:tcW w:type="dxa" w:w="2416"/>
            <w:tcBorders>
              <w:top w:val="single" w:color="D9CBB5" w:sz="4"/>
              <w:left w:val="none" w:color="FFFFFF" w:sz="0"/>
              <w:bottom w:val="single" w:color="D9CBB5" w:sz="4"/>
              <w:right w:val="none" w:color="FFFFFF" w:sz="0"/>
            </w:tcBorders>
            <w:tcMar>
              <w:top w:type="dxa" w:w="50"/>
              <w:left w:type="dxa" w:w="100"/>
              <w:bottom w:type="dxa" w:w="50"/>
              <w:right w:type="dxa" w:w="100"/>
            </w:tcMar>
            <w:vAlign w:val="top"/>
          </w:tcPr>
          <w:p>
            <w:pPr>
              <w:spacing w:after="0" w:before="0"/>
            </w:pPr>
            <w:r>
              <w:rPr>
                <w:rFonts w:ascii="Georgia" w:cs="Georgia" w:eastAsia="Georgia" w:hAnsi="Georgia"/>
                <w:b w:val="false"/>
                <w:bCs w:val="false"/>
                <w:color w:val="2B2B2B"/>
                <w:sz w:val="18"/>
                <w:szCs w:val="18"/>
              </w:rPr>
              <w:t xml:space="preserve">Manufacturing</w:t>
            </w:r>
          </w:p>
        </w:tc>
      </w:tr>
      <w:tr>
        <w:trPr>
          <w:cantSplit/>
        </w:trPr>
        <w:tc>
          <w:tcPr>
            <w:tcW w:type="dxa" w:w="2617"/>
            <w:tcBorders>
              <w:top w:val="single" w:color="D9CBB5" w:sz="4"/>
              <w:left w:val="none" w:color="FFFFFF" w:sz="0"/>
              <w:bottom w:val="single" w:color="D9CBB5" w:sz="4"/>
              <w:right w:val="none" w:color="FFFFFF" w:sz="0"/>
            </w:tcBorders>
            <w:shd w:fill="F7F1EC" w:color="auto" w:val="clear"/>
            <w:tcMar>
              <w:top w:type="dxa" w:w="50"/>
              <w:left w:type="dxa" w:w="100"/>
              <w:bottom w:type="dxa" w:w="50"/>
              <w:right w:type="dxa" w:w="100"/>
            </w:tcMar>
            <w:vAlign w:val="top"/>
          </w:tcPr>
          <w:p>
            <w:pPr>
              <w:spacing w:after="0" w:before="0"/>
            </w:pPr>
            <w:r>
              <w:rPr>
                <w:rFonts w:ascii="Georgia" w:cs="Georgia" w:eastAsia="Georgia" w:hAnsi="Georgia"/>
                <w:b/>
                <w:bCs/>
                <w:color w:val="2B2B2B"/>
                <w:sz w:val="18"/>
                <w:szCs w:val="18"/>
              </w:rPr>
              <w:t xml:space="preserve">Forensic Review</w:t>
            </w:r>
          </w:p>
        </w:tc>
        <w:tc>
          <w:tcPr>
            <w:tcW w:type="dxa" w:w="5033"/>
            <w:tcBorders>
              <w:top w:val="single" w:color="D9CBB5" w:sz="4"/>
              <w:left w:val="none" w:color="FFFFFF" w:sz="0"/>
              <w:bottom w:val="single" w:color="D9CBB5" w:sz="4"/>
              <w:right w:val="none" w:color="FFFFFF" w:sz="0"/>
            </w:tcBorders>
            <w:shd w:fill="F7F1EC" w:color="auto" w:val="clear"/>
            <w:tcMar>
              <w:top w:type="dxa" w:w="50"/>
              <w:left w:type="dxa" w:w="100"/>
              <w:bottom w:type="dxa" w:w="50"/>
              <w:right w:type="dxa" w:w="100"/>
            </w:tcMar>
            <w:vAlign w:val="top"/>
          </w:tcPr>
          <w:p>
            <w:pPr>
              <w:spacing w:after="0" w:before="0"/>
            </w:pPr>
            <w:r>
              <w:rPr>
                <w:rFonts w:ascii="Georgia" w:cs="Georgia" w:eastAsia="Georgia" w:hAnsi="Georgia"/>
                <w:b w:val="false"/>
                <w:bCs w:val="false"/>
                <w:color w:val="2B2B2B"/>
                <w:sz w:val="18"/>
                <w:szCs w:val="18"/>
              </w:rPr>
              <w:t xml:space="preserve">Vendor payments, pharma company</w:t>
            </w:r>
          </w:p>
        </w:tc>
        <w:tc>
          <w:tcPr>
            <w:tcW w:type="dxa" w:w="2416"/>
            <w:tcBorders>
              <w:top w:val="single" w:color="D9CBB5" w:sz="4"/>
              <w:left w:val="none" w:color="FFFFFF" w:sz="0"/>
              <w:bottom w:val="single" w:color="D9CBB5" w:sz="4"/>
              <w:right w:val="none" w:color="FFFFFF" w:sz="0"/>
            </w:tcBorders>
            <w:shd w:fill="F7F1EC" w:color="auto" w:val="clear"/>
            <w:tcMar>
              <w:top w:type="dxa" w:w="50"/>
              <w:left w:type="dxa" w:w="100"/>
              <w:bottom w:type="dxa" w:w="50"/>
              <w:right w:type="dxa" w:w="100"/>
            </w:tcMar>
            <w:vAlign w:val="top"/>
          </w:tcPr>
          <w:p>
            <w:pPr>
              <w:spacing w:after="0" w:before="0"/>
            </w:pPr>
            <w:r>
              <w:rPr>
                <w:rFonts w:ascii="Georgia" w:cs="Georgia" w:eastAsia="Georgia" w:hAnsi="Georgia"/>
                <w:b w:val="false"/>
                <w:bCs w:val="false"/>
                <w:color w:val="2B2B2B"/>
                <w:sz w:val="18"/>
                <w:szCs w:val="18"/>
              </w:rPr>
              <w:t xml:space="preserve">Pharmaceuticals</w:t>
            </w:r>
          </w:p>
        </w:tc>
      </w:tr>
      <w:tr>
        <w:trPr>
          <w:cantSplit/>
        </w:trPr>
        <w:tc>
          <w:tcPr>
            <w:tcW w:type="dxa" w:w="2617"/>
            <w:tcBorders>
              <w:top w:val="single" w:color="D9CBB5" w:sz="4"/>
              <w:left w:val="none" w:color="FFFFFF" w:sz="0"/>
              <w:bottom w:val="single" w:color="D9CBB5" w:sz="4"/>
              <w:right w:val="none" w:color="FFFFFF" w:sz="0"/>
            </w:tcBorders>
            <w:tcMar>
              <w:top w:type="dxa" w:w="50"/>
              <w:left w:type="dxa" w:w="100"/>
              <w:bottom w:type="dxa" w:w="50"/>
              <w:right w:type="dxa" w:w="100"/>
            </w:tcMar>
            <w:vAlign w:val="top"/>
          </w:tcPr>
          <w:p>
            <w:pPr>
              <w:spacing w:after="0" w:before="0"/>
            </w:pPr>
            <w:r>
              <w:rPr>
                <w:rFonts w:ascii="Georgia" w:cs="Georgia" w:eastAsia="Georgia" w:hAnsi="Georgia"/>
                <w:b/>
                <w:bCs/>
                <w:color w:val="2B2B2B"/>
                <w:sz w:val="18"/>
                <w:szCs w:val="18"/>
              </w:rPr>
              <w:t xml:space="preserve">Financial Due Diligence</w:t>
            </w:r>
          </w:p>
        </w:tc>
        <w:tc>
          <w:tcPr>
            <w:tcW w:type="dxa" w:w="5033"/>
            <w:tcBorders>
              <w:top w:val="single" w:color="D9CBB5" w:sz="4"/>
              <w:left w:val="none" w:color="FFFFFF" w:sz="0"/>
              <w:bottom w:val="single" w:color="D9CBB5" w:sz="4"/>
              <w:right w:val="none" w:color="FFFFFF" w:sz="0"/>
            </w:tcBorders>
            <w:tcMar>
              <w:top w:type="dxa" w:w="50"/>
              <w:left w:type="dxa" w:w="100"/>
              <w:bottom w:type="dxa" w:w="50"/>
              <w:right w:type="dxa" w:w="100"/>
            </w:tcMar>
            <w:vAlign w:val="top"/>
          </w:tcPr>
          <w:p>
            <w:pPr>
              <w:spacing w:after="0" w:before="0"/>
            </w:pPr>
            <w:r>
              <w:rPr>
                <w:rFonts w:ascii="Georgia" w:cs="Georgia" w:eastAsia="Georgia" w:hAnsi="Georgia"/>
                <w:b w:val="false"/>
                <w:bCs w:val="false"/>
                <w:color w:val="2B2B2B"/>
                <w:sz w:val="18"/>
                <w:szCs w:val="18"/>
              </w:rPr>
              <w:t xml:space="preserve">FMCG acquisition target</w:t>
            </w:r>
          </w:p>
        </w:tc>
        <w:tc>
          <w:tcPr>
            <w:tcW w:type="dxa" w:w="2416"/>
            <w:tcBorders>
              <w:top w:val="single" w:color="D9CBB5" w:sz="4"/>
              <w:left w:val="none" w:color="FFFFFF" w:sz="0"/>
              <w:bottom w:val="single" w:color="D9CBB5" w:sz="4"/>
              <w:right w:val="none" w:color="FFFFFF" w:sz="0"/>
            </w:tcBorders>
            <w:tcMar>
              <w:top w:type="dxa" w:w="50"/>
              <w:left w:type="dxa" w:w="100"/>
              <w:bottom w:type="dxa" w:w="50"/>
              <w:right w:type="dxa" w:w="100"/>
            </w:tcMar>
            <w:vAlign w:val="top"/>
          </w:tcPr>
          <w:p>
            <w:pPr>
              <w:spacing w:after="0" w:before="0"/>
            </w:pPr>
            <w:r>
              <w:rPr>
                <w:rFonts w:ascii="Georgia" w:cs="Georgia" w:eastAsia="Georgia" w:hAnsi="Georgia"/>
                <w:b w:val="false"/>
                <w:bCs w:val="false"/>
                <w:color w:val="2B2B2B"/>
                <w:sz w:val="18"/>
                <w:szCs w:val="18"/>
              </w:rPr>
              <w:t xml:space="preserve">FMCG</w:t>
            </w:r>
          </w:p>
        </w:tc>
      </w:tr>
    </w:tbl>
    <w:p>
      <w:pPr>
        <w:keepNext/>
        <w:pBdr>
          <w:bottom w:val="single" w:color="B08D57" w:sz="6" w:space="4"/>
        </w:pBdr>
        <w:spacing w:after="162" w:before="324"/>
      </w:pPr>
      <w:r>
        <w:rPr>
          <w:rFonts w:ascii="Georgia" w:cs="Georgia" w:eastAsia="Georgia" w:hAnsi="Georgia"/>
          <w:b/>
          <w:bCs/>
          <w:color w:val="7B1E2B"/>
          <w:spacing w:val="40"/>
          <w:sz w:val="23"/>
          <w:szCs w:val="23"/>
        </w:rPr>
        <w:t xml:space="preserve">CERTIFICATIONS</w:t>
      </w:r>
    </w:p>
    <w:p>
      <w:pPr>
        <w:pStyle w:val="ListParagraph"/>
        <w:numPr>
          <w:ilvl w:val="0"/>
          <w:numId w:val="2"/>
        </w:numPr>
        <w:spacing w:after="41" w:before="0" w:line="276"/>
      </w:pPr>
      <w:r>
        <w:rPr>
          <w:rFonts w:ascii="Georgia" w:cs="Georgia" w:eastAsia="Georgia" w:hAnsi="Georgia"/>
          <w:color w:val="2B2B2B"/>
          <w:sz w:val="20"/>
          <w:szCs w:val="20"/>
        </w:rPr>
        <w:t xml:space="preserve">Certified Information Systems Auditor (CISA) — ISACA</w:t>
      </w:r>
    </w:p>
    <w:p>
      <w:pPr>
        <w:pStyle w:val="ListParagraph"/>
        <w:numPr>
          <w:ilvl w:val="0"/>
          <w:numId w:val="2"/>
        </w:numPr>
        <w:spacing w:after="41" w:before="0" w:line="276"/>
      </w:pPr>
      <w:r>
        <w:rPr>
          <w:rFonts w:ascii="Georgia" w:cs="Georgia" w:eastAsia="Georgia" w:hAnsi="Georgia"/>
          <w:color w:val="2B2B2B"/>
          <w:sz w:val="20"/>
          <w:szCs w:val="20"/>
        </w:rPr>
        <w:t xml:space="preserve">Certificate Course on Forensic Accounting &amp; Fraud Detection — ICAI</w:t>
      </w:r>
    </w:p>
    <w:p>
      <w:pPr>
        <w:pStyle w:val="ListParagraph"/>
        <w:numPr>
          <w:ilvl w:val="0"/>
          <w:numId w:val="2"/>
        </w:numPr>
        <w:spacing w:after="41" w:before="0" w:line="276"/>
      </w:pPr>
      <w:r>
        <w:rPr>
          <w:rFonts w:ascii="Georgia" w:cs="Georgia" w:eastAsia="Georgia" w:hAnsi="Georgia"/>
          <w:color w:val="2B2B2B"/>
          <w:sz w:val="20"/>
          <w:szCs w:val="20"/>
        </w:rPr>
        <w:t xml:space="preserve">Certificate Course on Ind AS — ICAI</w:t>
      </w:r>
    </w:p>
    <w:p>
      <w:pPr>
        <w:pStyle w:val="ListParagraph"/>
        <w:numPr>
          <w:ilvl w:val="0"/>
          <w:numId w:val="2"/>
        </w:numPr>
        <w:spacing w:after="41" w:before="0" w:line="276"/>
      </w:pPr>
      <w:r>
        <w:rPr>
          <w:rFonts w:ascii="Georgia" w:cs="Georgia" w:eastAsia="Georgia" w:hAnsi="Georgia"/>
          <w:color w:val="2B2B2B"/>
          <w:sz w:val="20"/>
          <w:szCs w:val="20"/>
        </w:rPr>
        <w:t xml:space="preserve">Microsoft Certified: Power BI Data Analyst Associate</w:t>
      </w:r>
    </w:p>
    <w:p>
      <w:pPr>
        <w:keepNext/>
        <w:pBdr>
          <w:bottom w:val="single" w:color="B08D57" w:sz="6" w:space="4"/>
        </w:pBdr>
        <w:spacing w:after="162" w:before="324"/>
      </w:pPr>
      <w:r>
        <w:rPr>
          <w:rFonts w:ascii="Georgia" w:cs="Georgia" w:eastAsia="Georgia" w:hAnsi="Georgia"/>
          <w:b/>
          <w:bCs/>
          <w:color w:val="7B1E2B"/>
          <w:spacing w:val="40"/>
          <w:sz w:val="23"/>
          <w:szCs w:val="23"/>
        </w:rPr>
        <w:t xml:space="preserve">ACHIEVEMENTS &amp; AWARDS</w:t>
      </w:r>
    </w:p>
    <w:p>
      <w:pPr>
        <w:pStyle w:val="ListParagraph"/>
        <w:numPr>
          <w:ilvl w:val="0"/>
          <w:numId w:val="2"/>
        </w:numPr>
        <w:spacing w:after="41" w:before="0" w:line="276"/>
      </w:pPr>
      <w:r>
        <w:rPr>
          <w:rFonts w:ascii="Georgia" w:cs="Georgia" w:eastAsia="Georgia" w:hAnsi="Georgia"/>
          <w:color w:val="2B2B2B"/>
          <w:sz w:val="20"/>
          <w:szCs w:val="20"/>
        </w:rPr>
        <w:t xml:space="preserve">Employee of the Year, FY 2024-25 — JHS &amp; Associates LLP</w:t>
      </w:r>
    </w:p>
    <w:p>
      <w:pPr>
        <w:pStyle w:val="ListParagraph"/>
        <w:numPr>
          <w:ilvl w:val="0"/>
          <w:numId w:val="2"/>
        </w:numPr>
        <w:spacing w:after="41" w:before="0" w:line="276"/>
      </w:pPr>
      <w:r>
        <w:rPr>
          <w:rFonts w:ascii="Georgia" w:cs="Georgia" w:eastAsia="Georgia" w:hAnsi="Georgia"/>
          <w:color w:val="2B2B2B"/>
          <w:sz w:val="20"/>
          <w:szCs w:val="20"/>
        </w:rPr>
        <w:t xml:space="preserve">Led the firm's first Ind AS transition engagement for a listed NBFC, delivered two weeks ahead of schedule</w:t>
      </w:r>
    </w:p>
    <w:p>
      <w:pPr>
        <w:pStyle w:val="ListParagraph"/>
        <w:numPr>
          <w:ilvl w:val="0"/>
          <w:numId w:val="2"/>
        </w:numPr>
        <w:spacing w:after="41" w:before="0" w:line="276"/>
      </w:pPr>
      <w:r>
        <w:rPr>
          <w:rFonts w:ascii="Georgia" w:cs="Georgia" w:eastAsia="Georgia" w:hAnsi="Georgia"/>
          <w:color w:val="2B2B2B"/>
          <w:sz w:val="20"/>
          <w:szCs w:val="20"/>
        </w:rPr>
        <w:t xml:space="preserve">All-India Rank 38, CA Final examination (May 2017)</w:t>
      </w:r>
    </w:p>
    <w:p>
      <w:pPr>
        <w:spacing w:after="0" w:before="0" w:line="200" w:lineRule="exact"/>
      </w:pPr>
    </w:p>
    <w:p>
      <w:pPr>
        <w:spacing w:after="405" w:before="0"/>
      </w:pPr>
      <w:r>
        <w:rPr>
          <w:rFonts w:ascii="Georgia" w:cs="Georgia" w:eastAsia="Georgia" w:hAnsi="Georgia"/>
          <w:i/>
          <w:iCs/>
          <w:color w:val="7F7F7F"/>
          <w:sz w:val="18"/>
          <w:szCs w:val="18"/>
        </w:rPr>
        <w:t xml:space="preserve">I hereby confirm that the information furnished above is true to the best of my knowledge.</w:t>
      </w:r>
    </w:p>
    <w:p>
      <w:pPr>
        <w:tabs>
          <w:tab w:val="right" w:pos="10066"/>
        </w:tabs>
        <w:spacing w:after="81" w:before="0"/>
      </w:pPr>
      <w:r>
        <w:rPr>
          <w:rFonts w:ascii="Georgia" w:cs="Georgia" w:eastAsia="Georgia" w:hAnsi="Georgia"/>
          <w:color w:val="595959"/>
          <w:sz w:val="18"/>
          <w:szCs w:val="18"/>
        </w:rPr>
        <w:t xml:space="preserve">Signature: ____________________</w:t>
      </w:r>
      <w:r>
        <w:rPr>
          <w:rFonts w:ascii="Georgia" w:cs="Georgia" w:eastAsia="Georgia" w:hAnsi="Georgia"/>
          <w:color w:val="595959"/>
          <w:sz w:val="18"/>
          <w:szCs w:val="18"/>
        </w:rPr>
        <w:t xml:space="preserve">	Date: October 2026</w:t>
      </w:r>
    </w:p>
    <w:sectPr>
      <w:footerReference w:type="default" r:id="rId7"/>
      <w:pgSz w:w="11906" w:h="16838" w:orient="portrait"/>
      <w:pgMar w:top="920" w:right="920" w:bottom="920" w:left="920" w:header="708" w:footer="3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400"/>
      </w:tabs>
      <w:spacing w:after="81" w:before="0"/>
    </w:pPr>
    <w:r>
      <w:rPr>
        <w:rFonts w:ascii="Georgia" w:cs="Georgia" w:eastAsia="Georgia" w:hAnsi="Georgia"/>
        <w:color w:val="8C8C8C"/>
        <w:sz w:val="15"/>
        <w:szCs w:val="15"/>
      </w:rPr>
      <w:t xml:space="preserve">JHS &amp; Associates LLP  |  Curriculum Vitae  |  CV last updated: October 2026</w:t>
    </w:r>
    <w:r>
      <w:rPr>
        <w:rFonts w:ascii="Georgia" w:cs="Georgia" w:eastAsia="Georgia" w:hAnsi="Georgia"/>
        <w:color w:val="8C8C8C"/>
        <w:sz w:val="14"/>
        <w:szCs w:val="14"/>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rPr>
        <w:color w:val="B08D57"/>
        <w:sz w:val="12"/>
        <w:szCs w:val="1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 Rohan Arvind Sharma</dc:title>
  <dc:creator>JHS &amp; Associates LLP</dc:creator>
  <cp:lastModifiedBy>Un-named</cp:lastModifiedBy>
  <cp:revision>1</cp:revision>
  <dcterms:created xsi:type="dcterms:W3CDTF">2026-10-08T06:06:05.357Z</dcterms:created>
  <dcterms:modified xsi:type="dcterms:W3CDTF">2026-10-08T06:06:05.357Z</dcterms:modified>
</cp:coreProperties>
</file>

<file path=docProps/custom.xml><?xml version="1.0" encoding="utf-8"?>
<Properties xmlns="http://schemas.openxmlformats.org/officeDocument/2006/custom-properties" xmlns:vt="http://schemas.openxmlformats.org/officeDocument/2006/docPropsVTypes"/>
</file>