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B0C95" w14:textId="77777777" w:rsidR="00151D95" w:rsidRPr="00E40F97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  <w:b/>
        </w:rPr>
      </w:pPr>
      <w:r w:rsidRPr="00E40F97">
        <w:rPr>
          <w:rStyle w:val="normaltextrun"/>
          <w:rFonts w:asciiTheme="minorHAnsi" w:hAnsiTheme="minorHAnsi" w:cstheme="minorBidi"/>
          <w:b/>
        </w:rPr>
        <w:t xml:space="preserve">Template para entrega do projeto da disciplina </w:t>
      </w:r>
    </w:p>
    <w:p w14:paraId="1EEF37E5" w14:textId="1C56E345" w:rsidR="34D63F52" w:rsidRPr="00E40F97" w:rsidRDefault="00255D59" w:rsidP="6945615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Bidi"/>
          <w:b/>
        </w:rPr>
      </w:pPr>
      <w:r w:rsidRPr="00E40F97">
        <w:rPr>
          <w:rStyle w:val="normaltextrun"/>
          <w:rFonts w:asciiTheme="minorHAnsi" w:hAnsiTheme="minorHAnsi" w:cstheme="minorBidi"/>
          <w:b/>
        </w:rPr>
        <w:t>Programação para Dados</w:t>
      </w:r>
    </w:p>
    <w:p w14:paraId="0C89E693" w14:textId="77777777" w:rsidR="00151D95" w:rsidRPr="00C92415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</w:p>
    <w:p w14:paraId="215F3EFD" w14:textId="77777777" w:rsidR="00151D95" w:rsidRPr="00C92415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  <w:r w:rsidRPr="00C92415">
        <w:rPr>
          <w:rStyle w:val="normaltextrun"/>
          <w:rFonts w:asciiTheme="minorHAnsi" w:hAnsiTheme="minorHAnsi" w:cstheme="minorHAnsi"/>
        </w:rPr>
        <w:t>Fase 1</w:t>
      </w:r>
    </w:p>
    <w:p w14:paraId="5E00427B" w14:textId="77777777" w:rsidR="00151D95" w:rsidRPr="00C92415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</w:p>
    <w:tbl>
      <w:tblPr>
        <w:tblStyle w:val="Tabelacomgrade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2507"/>
        <w:gridCol w:w="5907"/>
      </w:tblGrid>
      <w:tr w:rsidR="00151D95" w:rsidRPr="00C92415" w14:paraId="6F2248AE" w14:textId="77777777" w:rsidTr="00FC1CE8">
        <w:tc>
          <w:tcPr>
            <w:tcW w:w="2507" w:type="dxa"/>
            <w:shd w:val="clear" w:color="auto" w:fill="E7E6E6" w:themeFill="background2"/>
          </w:tcPr>
          <w:p w14:paraId="4B0348F7" w14:textId="77777777" w:rsidR="00151D95" w:rsidRPr="00C92415" w:rsidRDefault="00151D95" w:rsidP="00CF3A6E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 w:rsidRPr="00C92415">
              <w:rPr>
                <w:rStyle w:val="normaltextrun"/>
                <w:rFonts w:asciiTheme="minorHAnsi" w:hAnsiTheme="minorHAnsi" w:cstheme="minorHAnsi"/>
                <w:b/>
              </w:rPr>
              <w:t>Nome do estudante</w:t>
            </w:r>
          </w:p>
        </w:tc>
        <w:tc>
          <w:tcPr>
            <w:tcW w:w="5907" w:type="dxa"/>
            <w:shd w:val="clear" w:color="auto" w:fill="E7E6E6" w:themeFill="background2"/>
          </w:tcPr>
          <w:p w14:paraId="5813153A" w14:textId="7D3A9BCB" w:rsidR="00151D95" w:rsidRPr="00C92415" w:rsidRDefault="005E2CFA" w:rsidP="00CF3A6E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>
              <w:rPr>
                <w:rStyle w:val="normaltextrun"/>
                <w:rFonts w:asciiTheme="minorHAnsi" w:hAnsiTheme="minorHAnsi" w:cstheme="minorHAnsi"/>
                <w:b/>
              </w:rPr>
              <w:t>João Henrique dos Santos</w:t>
            </w:r>
          </w:p>
        </w:tc>
      </w:tr>
      <w:tr w:rsidR="00FC1CE8" w:rsidRPr="00C92415" w14:paraId="07DCEE81" w14:textId="77777777" w:rsidTr="00FC1CE8">
        <w:tc>
          <w:tcPr>
            <w:tcW w:w="2507" w:type="dxa"/>
            <w:shd w:val="clear" w:color="auto" w:fill="E7E6E6" w:themeFill="background2"/>
          </w:tcPr>
          <w:p w14:paraId="12D1B75C" w14:textId="7978B6E4" w:rsidR="00FC1CE8" w:rsidRPr="00C92415" w:rsidRDefault="00FC1CE8" w:rsidP="00CF3A6E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>
              <w:rPr>
                <w:rStyle w:val="normaltextrun"/>
                <w:rFonts w:asciiTheme="minorHAnsi" w:hAnsiTheme="minorHAnsi" w:cstheme="minorHAnsi"/>
                <w:b/>
              </w:rPr>
              <w:t>C</w:t>
            </w:r>
            <w:r w:rsidRPr="00FC1CE8">
              <w:rPr>
                <w:rStyle w:val="normaltextrun"/>
                <w:rFonts w:asciiTheme="minorHAnsi" w:hAnsiTheme="minorHAnsi" w:cstheme="minorHAnsi"/>
                <w:b/>
              </w:rPr>
              <w:t xml:space="preserve">urso </w:t>
            </w:r>
          </w:p>
        </w:tc>
        <w:tc>
          <w:tcPr>
            <w:tcW w:w="5907" w:type="dxa"/>
            <w:shd w:val="clear" w:color="auto" w:fill="E7E6E6" w:themeFill="background2"/>
          </w:tcPr>
          <w:p w14:paraId="1274047D" w14:textId="03ADC681" w:rsidR="00FC1CE8" w:rsidRPr="00C92415" w:rsidRDefault="005E2CFA" w:rsidP="00CF3A6E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>
              <w:rPr>
                <w:rStyle w:val="normaltextrun"/>
                <w:rFonts w:asciiTheme="minorHAnsi" w:hAnsiTheme="minorHAnsi" w:cstheme="minorHAnsi"/>
                <w:b/>
              </w:rPr>
              <w:t>Tecnologia em Gestão da Informação: Soluções Baseadas em Nuvem</w:t>
            </w:r>
          </w:p>
        </w:tc>
      </w:tr>
    </w:tbl>
    <w:p w14:paraId="2750B889" w14:textId="5EC4363C" w:rsidR="00151D95" w:rsidRPr="00A94F0B" w:rsidRDefault="00151D95"/>
    <w:p w14:paraId="6D3F6575" w14:textId="5FD7FE17" w:rsidR="00A94F0B" w:rsidRPr="005E2CFA" w:rsidRDefault="33213D9B" w:rsidP="005E2CFA">
      <w:r w:rsidRPr="00A94F0B">
        <w:t xml:space="preserve">ESTE É </w:t>
      </w:r>
      <w:r w:rsidR="00A94F0B" w:rsidRPr="00A94F0B">
        <w:t xml:space="preserve">O </w:t>
      </w:r>
      <w:r w:rsidRPr="00A94F0B">
        <w:t xml:space="preserve">TEMPLATE </w:t>
      </w:r>
      <w:r w:rsidR="00FC1CE8" w:rsidRPr="00A94F0B">
        <w:t xml:space="preserve">PARA PREENCHIMENTO </w:t>
      </w:r>
      <w:r w:rsidRPr="00A94F0B">
        <w:t>DO PROJETO</w:t>
      </w:r>
      <w:r w:rsidR="00FC1CE8" w:rsidRPr="00A94F0B">
        <w:t>.</w:t>
      </w:r>
      <w:r w:rsidRPr="00A94F0B">
        <w:t xml:space="preserve"> </w:t>
      </w:r>
      <w:r w:rsidR="00FC1CE8" w:rsidRPr="00A94F0B">
        <w:t>PARA PRODUZIR O TRABALHO, ORIENTE-SE PELA</w:t>
      </w:r>
      <w:r w:rsidRPr="00A94F0B">
        <w:t xml:space="preserve"> DESCRIÇÃO </w:t>
      </w:r>
      <w:r w:rsidR="00FC1CE8" w:rsidRPr="00A94F0B">
        <w:t xml:space="preserve">DO ENUNCIADO DA FASE 1 </w:t>
      </w:r>
      <w:r w:rsidRPr="00A94F0B">
        <w:t>DO PROJETO</w:t>
      </w:r>
      <w:r w:rsidR="00FC1CE8" w:rsidRPr="00A94F0B">
        <w:t>.</w:t>
      </w:r>
    </w:p>
    <w:p w14:paraId="257E7D0C" w14:textId="4DA3D026" w:rsidR="00255D59" w:rsidRDefault="00255D59" w:rsidP="00255D59">
      <w:pPr>
        <w:jc w:val="both"/>
      </w:pPr>
      <w:r w:rsidRPr="009C4398">
        <w:t xml:space="preserve">Para demonstrar seu trabalho, devem ser respondidas três perguntas, </w:t>
      </w:r>
      <w:r>
        <w:t xml:space="preserve">sobre o conjunto de dados completo, </w:t>
      </w:r>
      <w:r w:rsidRPr="009C4398">
        <w:t xml:space="preserve">demonstrado a organização proposta: </w:t>
      </w:r>
    </w:p>
    <w:p w14:paraId="31A9A7B9" w14:textId="77777777" w:rsidR="00255D59" w:rsidRPr="009C4398" w:rsidRDefault="00255D59" w:rsidP="00255D59">
      <w:pPr>
        <w:pStyle w:val="PargrafodaLista"/>
        <w:numPr>
          <w:ilvl w:val="0"/>
          <w:numId w:val="4"/>
        </w:numPr>
        <w:spacing w:after="160" w:line="259" w:lineRule="auto"/>
        <w:jc w:val="both"/>
      </w:pPr>
      <w:r w:rsidRPr="009C4398">
        <w:t>Atenção</w:t>
      </w:r>
      <w:r>
        <w:t>:</w:t>
      </w:r>
      <w:r w:rsidRPr="009C4398">
        <w:t xml:space="preserve"> Além da resposta estar correta, deve discorrer brevemente sobre os resultados obtidos (evite respostas curtas). </w:t>
      </w:r>
    </w:p>
    <w:p w14:paraId="3EE5999A" w14:textId="77777777" w:rsidR="00255D59" w:rsidRPr="00255D59" w:rsidRDefault="00255D59" w:rsidP="00255D59">
      <w:pPr>
        <w:jc w:val="both"/>
        <w:rPr>
          <w:b/>
          <w:bCs/>
        </w:rPr>
      </w:pPr>
      <w:r w:rsidRPr="00255D59">
        <w:rPr>
          <w:b/>
          <w:bCs/>
        </w:rPr>
        <w:t xml:space="preserve">Pergunta 1: Qual o percentual de jogos gratuitos e pagos na plataforma?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A1302" w14:paraId="377DF36C" w14:textId="77777777" w:rsidTr="69456155">
        <w:trPr>
          <w:trHeight w:val="2970"/>
        </w:trPr>
        <w:tc>
          <w:tcPr>
            <w:tcW w:w="8494" w:type="dxa"/>
          </w:tcPr>
          <w:p w14:paraId="05174B9F" w14:textId="292834B7" w:rsidR="004A1302" w:rsidRDefault="004A1302" w:rsidP="004A1302">
            <w:pPr>
              <w:jc w:val="both"/>
            </w:pPr>
            <w:r>
              <w:t>Resposta:</w:t>
            </w:r>
          </w:p>
          <w:p w14:paraId="2B6047D9" w14:textId="77777777" w:rsidR="005E2CFA" w:rsidRDefault="005E2CFA" w:rsidP="005E2CFA">
            <w:r>
              <w:t>Levando em consideração a avaliação de todos os jogos onde o campo price é o responsável por informar se o jogo foi ou não pago, onde jogo gratuito possui o valor R$0,00 e o pago valor superior a isso podemos concluir que o percentual exato é:</w:t>
            </w:r>
          </w:p>
          <w:p w14:paraId="27B126FA" w14:textId="77777777" w:rsidR="005E2CFA" w:rsidRDefault="005E2CFA" w:rsidP="005E2CFA">
            <w:r>
              <w:t xml:space="preserve">Gratuitos: </w:t>
            </w:r>
            <w:r w:rsidRPr="008E5B19">
              <w:t>17.39%</w:t>
            </w:r>
          </w:p>
          <w:p w14:paraId="523118D0" w14:textId="77777777" w:rsidR="005E2CFA" w:rsidRDefault="005E2CFA" w:rsidP="005E2CFA">
            <w:r>
              <w:t>Pagos:</w:t>
            </w:r>
            <w:r w:rsidRPr="008E5B19">
              <w:t xml:space="preserve"> 82.61%</w:t>
            </w:r>
          </w:p>
          <w:p w14:paraId="754A1E6B" w14:textId="54095539" w:rsidR="004A1302" w:rsidRDefault="004A1302" w:rsidP="004A1302">
            <w:pPr>
              <w:jc w:val="both"/>
            </w:pPr>
          </w:p>
        </w:tc>
      </w:tr>
    </w:tbl>
    <w:p w14:paraId="5C4E5BFE" w14:textId="22D91F8E" w:rsidR="004A1302" w:rsidRPr="00793FE6" w:rsidRDefault="004A1302" w:rsidP="69456155">
      <w:pPr>
        <w:ind w:hanging="3"/>
        <w:jc w:val="both"/>
        <w:rPr>
          <w:rFonts w:cs="Calibri"/>
          <w:color w:val="000000" w:themeColor="text1"/>
        </w:rPr>
      </w:pPr>
    </w:p>
    <w:p w14:paraId="2AD395B9" w14:textId="77777777" w:rsidR="00255D59" w:rsidRPr="00255D59" w:rsidRDefault="00255D59" w:rsidP="00255D59">
      <w:pPr>
        <w:jc w:val="both"/>
        <w:rPr>
          <w:b/>
          <w:bCs/>
        </w:rPr>
      </w:pPr>
      <w:r w:rsidRPr="00255D59">
        <w:rPr>
          <w:b/>
          <w:bCs/>
        </w:rPr>
        <w:t xml:space="preserve">Pergunta 2: Qual o ano com o maior número de novos jogos? Em caso de empate, retorne uma lista com os anos empatados.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69456155" w14:paraId="3C912E1D" w14:textId="77777777" w:rsidTr="69456155">
        <w:trPr>
          <w:trHeight w:val="2625"/>
        </w:trPr>
        <w:tc>
          <w:tcPr>
            <w:tcW w:w="8490" w:type="dxa"/>
          </w:tcPr>
          <w:p w14:paraId="285C2129" w14:textId="35E47AED" w:rsidR="172C0B2D" w:rsidRDefault="172C0B2D" w:rsidP="69456155">
            <w:pPr>
              <w:jc w:val="both"/>
            </w:pPr>
            <w:r>
              <w:t>Resposta:</w:t>
            </w:r>
          </w:p>
          <w:p w14:paraId="369ACF93" w14:textId="77777777" w:rsidR="005E2CFA" w:rsidRDefault="005E2CFA" w:rsidP="005E2CFA">
            <w:r>
              <w:t>Os dados avaliam um grande período de venda onde o ano inicial é 1999, porém um momento onde a internet ainda não possuía uma grande divulgação, em 2015 é possível perceber um significativo aumento de venda, momento onde os jogos online e o modelo de venda de jogos através de plataformas passou a ser mais difundido. A plataforma atingiu seu auge de vendas no ano de 2022 com o número de 13.691 jogos.</w:t>
            </w:r>
          </w:p>
          <w:p w14:paraId="1FBA3861" w14:textId="57539C35" w:rsidR="69456155" w:rsidRDefault="69456155" w:rsidP="69456155"/>
        </w:tc>
      </w:tr>
    </w:tbl>
    <w:p w14:paraId="39A8D26A" w14:textId="6F8F2BBA" w:rsidR="004A1302" w:rsidRPr="00793FE6" w:rsidRDefault="004A1302" w:rsidP="69456155">
      <w:pPr>
        <w:jc w:val="both"/>
      </w:pPr>
    </w:p>
    <w:p w14:paraId="4B130FFB" w14:textId="77777777" w:rsidR="00255D59" w:rsidRPr="00255D59" w:rsidRDefault="00255D59" w:rsidP="00255D59">
      <w:pPr>
        <w:jc w:val="both"/>
        <w:rPr>
          <w:b/>
          <w:bCs/>
        </w:rPr>
      </w:pPr>
      <w:r w:rsidRPr="00255D59">
        <w:rPr>
          <w:b/>
          <w:bCs/>
        </w:rPr>
        <w:t xml:space="preserve">Pergunta 3:  Para demonstrar a facilidade de revisão e modificação de uso do módulo desenvolvido, uma pergunta adicional deve ser proposta e respondida por você.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69456155" w14:paraId="78C1886C" w14:textId="77777777" w:rsidTr="69456155">
        <w:trPr>
          <w:trHeight w:val="300"/>
        </w:trPr>
        <w:tc>
          <w:tcPr>
            <w:tcW w:w="8490" w:type="dxa"/>
          </w:tcPr>
          <w:p w14:paraId="79E7D67E" w14:textId="35E47AED" w:rsidR="371F1E22" w:rsidRDefault="371F1E22" w:rsidP="69456155">
            <w:pPr>
              <w:jc w:val="both"/>
            </w:pPr>
            <w:r>
              <w:t>Resposta:</w:t>
            </w:r>
          </w:p>
          <w:p w14:paraId="5AB12783" w14:textId="77777777" w:rsidR="005E2CFA" w:rsidRDefault="005E2CFA" w:rsidP="005E2CFA">
            <w:r>
              <w:t>Qual o valor médio gasto por jogo em relação aos jogos pagos?</w:t>
            </w:r>
          </w:p>
          <w:p w14:paraId="5945A501" w14:textId="77777777" w:rsidR="005E2CFA" w:rsidRDefault="005E2CFA" w:rsidP="005E2CFA">
            <w:r>
              <w:t>Analisando toda a gama dos quase 83% dos jogos pagos na plataforma é possível visualizar o valor médio R$8,75 por jogo. O que apresenta ser um valor baixo para o nível de jogos disponíveis na plataforma.</w:t>
            </w:r>
          </w:p>
          <w:p w14:paraId="1C08F885" w14:textId="09040E20" w:rsidR="69456155" w:rsidRDefault="69456155" w:rsidP="005E2CFA">
            <w:pPr>
              <w:rPr>
                <w:rFonts w:cs="Calibri"/>
                <w:b/>
                <w:bCs/>
                <w:color w:val="000000" w:themeColor="text1"/>
              </w:rPr>
            </w:pPr>
          </w:p>
        </w:tc>
      </w:tr>
    </w:tbl>
    <w:p w14:paraId="3F68F699" w14:textId="320FB1DF" w:rsidR="004A1302" w:rsidRDefault="004A1302" w:rsidP="69456155">
      <w:pPr>
        <w:jc w:val="both"/>
        <w:rPr>
          <w:rFonts w:cs="Calibri"/>
          <w:color w:val="000000" w:themeColor="text1"/>
        </w:rPr>
      </w:pPr>
    </w:p>
    <w:p w14:paraId="432B35AE" w14:textId="237F0C8D" w:rsidR="00255D59" w:rsidRDefault="00255D59" w:rsidP="00255D59">
      <w:pPr>
        <w:jc w:val="both"/>
      </w:pPr>
      <w:r w:rsidRPr="009C4398">
        <w:t>Como você é um analista de dados dedicado, serão criados testes sobre uma amostra de 20 jogos do cadastro separados aleatoriamente em um arquivo.</w:t>
      </w:r>
      <w:r>
        <w:t xml:space="preserve"> Responda as mesmas </w:t>
      </w:r>
      <w:r w:rsidRPr="009C4398">
        <w:t xml:space="preserve">três perguntas, </w:t>
      </w:r>
      <w:r>
        <w:t xml:space="preserve">sobre o conjunto de dados da amostra, </w:t>
      </w:r>
      <w:r w:rsidRPr="009C4398">
        <w:t xml:space="preserve">demonstrado a organização proposta: </w:t>
      </w:r>
    </w:p>
    <w:p w14:paraId="6BB72116" w14:textId="77777777" w:rsidR="00255D59" w:rsidRPr="009C4398" w:rsidRDefault="00255D59" w:rsidP="00255D59">
      <w:pPr>
        <w:pStyle w:val="PargrafodaLista"/>
        <w:numPr>
          <w:ilvl w:val="0"/>
          <w:numId w:val="4"/>
        </w:numPr>
        <w:spacing w:after="160" w:line="259" w:lineRule="auto"/>
        <w:jc w:val="both"/>
      </w:pPr>
      <w:r w:rsidRPr="009C4398">
        <w:t>Atenção</w:t>
      </w:r>
      <w:r>
        <w:t>:</w:t>
      </w:r>
      <w:r w:rsidRPr="009C4398">
        <w:t xml:space="preserve"> Além da resposta estar correta, deve discorrer brevemente sobre os resultados obtidos (evite respostas curtas). </w:t>
      </w:r>
    </w:p>
    <w:p w14:paraId="6B7D30C4" w14:textId="77777777" w:rsidR="00255D59" w:rsidRPr="00255D59" w:rsidRDefault="00255D59" w:rsidP="00255D59">
      <w:pPr>
        <w:jc w:val="both"/>
        <w:rPr>
          <w:b/>
          <w:bCs/>
        </w:rPr>
      </w:pPr>
      <w:r w:rsidRPr="00255D59">
        <w:rPr>
          <w:b/>
          <w:bCs/>
        </w:rPr>
        <w:t xml:space="preserve">Pergunta 1: Qual o percentual de jogos gratuitos e pagos na plataforma?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5D59" w14:paraId="381FE13D" w14:textId="77777777" w:rsidTr="00C24131">
        <w:trPr>
          <w:trHeight w:val="2970"/>
        </w:trPr>
        <w:tc>
          <w:tcPr>
            <w:tcW w:w="8494" w:type="dxa"/>
          </w:tcPr>
          <w:p w14:paraId="3CC4BF12" w14:textId="77777777" w:rsidR="00255D59" w:rsidRDefault="00255D59" w:rsidP="00C24131">
            <w:pPr>
              <w:jc w:val="both"/>
            </w:pPr>
            <w:r>
              <w:t>Resposta:</w:t>
            </w:r>
          </w:p>
          <w:p w14:paraId="62E2F6B8" w14:textId="73490855" w:rsidR="00255D59" w:rsidRDefault="00802FE6" w:rsidP="00802FE6">
            <w:pPr>
              <w:jc w:val="both"/>
            </w:pPr>
            <w:r w:rsidRPr="00802FE6">
              <w:t>Com base na amostra de 20 jogos, observamos que a maioria dos produtos são pagos, correspondendo a aproximadamente 82% do total. Isso sugere que, a maioria dos jogos</w:t>
            </w:r>
            <w:r>
              <w:t xml:space="preserve"> dessa amostra</w:t>
            </w:r>
            <w:r w:rsidRPr="00802FE6">
              <w:t xml:space="preserve"> não são oferecidos gratuitamente. Essa tendência pode indicar que desenvolvedores de jogos optam por um modelo de monetização tradicional, onde os usuários pagam para acessar o conteúdo completo. No entanto, ainda há uma pequena parcela (18%) de produtos gratuitos, que podem representar jogos que utilizam um modelo freemium ou são promovidos para atrair novos usuários.</w:t>
            </w:r>
          </w:p>
        </w:tc>
      </w:tr>
    </w:tbl>
    <w:p w14:paraId="3A10A652" w14:textId="77777777" w:rsidR="00255D59" w:rsidRPr="00793FE6" w:rsidRDefault="00255D59" w:rsidP="00255D59">
      <w:pPr>
        <w:ind w:hanging="3"/>
        <w:jc w:val="both"/>
        <w:rPr>
          <w:rFonts w:cs="Calibri"/>
          <w:color w:val="000000" w:themeColor="text1"/>
        </w:rPr>
      </w:pPr>
    </w:p>
    <w:p w14:paraId="2BC9645E" w14:textId="77777777" w:rsidR="00255D59" w:rsidRPr="00255D59" w:rsidRDefault="00255D59" w:rsidP="00255D59">
      <w:pPr>
        <w:jc w:val="both"/>
        <w:rPr>
          <w:b/>
          <w:bCs/>
        </w:rPr>
      </w:pPr>
      <w:r w:rsidRPr="00255D59">
        <w:rPr>
          <w:b/>
          <w:bCs/>
        </w:rPr>
        <w:t xml:space="preserve">Pergunta 2: Qual o ano com o maior número de novos jogos? Em caso de empate, retorne uma lista com os anos empatados.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00255D59" w14:paraId="7DD1C7DA" w14:textId="77777777" w:rsidTr="00C24131">
        <w:trPr>
          <w:trHeight w:val="2625"/>
        </w:trPr>
        <w:tc>
          <w:tcPr>
            <w:tcW w:w="8490" w:type="dxa"/>
          </w:tcPr>
          <w:p w14:paraId="681C360C" w14:textId="77777777" w:rsidR="00255D59" w:rsidRDefault="00255D59" w:rsidP="00C24131">
            <w:pPr>
              <w:jc w:val="both"/>
            </w:pPr>
            <w:r>
              <w:lastRenderedPageBreak/>
              <w:t>Resposta:</w:t>
            </w:r>
          </w:p>
          <w:p w14:paraId="1D526AA4" w14:textId="459965F3" w:rsidR="00255D59" w:rsidRDefault="00802FE6" w:rsidP="00C24131">
            <w:r w:rsidRPr="00802FE6">
              <w:t xml:space="preserve">A amostra revela que 2021 foi o ano com maior número de lançamentos, totalizando 5 jogos. Diversos fatores podem explicar esse aumento, incluindo o crescimento da indústria de jogos em meio à pandemia, onde muitas empresas e desenvolvedores independentes aceleraram o desenvolvimento para aproveitar a demanda crescente por entretenimento. </w:t>
            </w:r>
          </w:p>
        </w:tc>
      </w:tr>
    </w:tbl>
    <w:p w14:paraId="73ECF1D3" w14:textId="77777777" w:rsidR="00255D59" w:rsidRPr="00793FE6" w:rsidRDefault="00255D59" w:rsidP="00255D59">
      <w:pPr>
        <w:jc w:val="both"/>
      </w:pPr>
    </w:p>
    <w:p w14:paraId="640620C3" w14:textId="77777777" w:rsidR="00255D59" w:rsidRPr="00255D59" w:rsidRDefault="00255D59" w:rsidP="00255D59">
      <w:pPr>
        <w:jc w:val="both"/>
        <w:rPr>
          <w:b/>
          <w:bCs/>
        </w:rPr>
      </w:pPr>
      <w:r w:rsidRPr="00255D59">
        <w:rPr>
          <w:b/>
          <w:bCs/>
        </w:rPr>
        <w:t xml:space="preserve">Pergunta 3:  Para demonstrar a facilidade de revisão e modificação de uso do módulo desenvolvido, uma pergunta adicional deve ser proposta e respondida por você.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00255D59" w14:paraId="613D6CAD" w14:textId="77777777" w:rsidTr="00C24131">
        <w:trPr>
          <w:trHeight w:val="300"/>
        </w:trPr>
        <w:tc>
          <w:tcPr>
            <w:tcW w:w="8490" w:type="dxa"/>
          </w:tcPr>
          <w:p w14:paraId="5A23D572" w14:textId="77777777" w:rsidR="00255D59" w:rsidRDefault="00255D59" w:rsidP="00C24131">
            <w:pPr>
              <w:jc w:val="both"/>
            </w:pPr>
            <w:r>
              <w:t>Resposta:</w:t>
            </w:r>
          </w:p>
          <w:p w14:paraId="0BAE95F9" w14:textId="4B761321" w:rsidR="00802FE6" w:rsidRDefault="00802FE6" w:rsidP="00C24131">
            <w:pPr>
              <w:jc w:val="both"/>
            </w:pPr>
            <w:r w:rsidRPr="00802FE6">
              <w:t xml:space="preserve">O preço médio dos jogos pagos na amostra foi de </w:t>
            </w:r>
            <w:r>
              <w:t>R$13,37</w:t>
            </w:r>
            <w:r w:rsidRPr="00802FE6">
              <w:t xml:space="preserve">, sugerindo que muitos desenvolvedores optam por um ponto de preço intermediário, acessível para uma ampla base de usuários. Para muitos jogadores, essa faixa de preço representa um bom equilíbrio </w:t>
            </w:r>
            <w:r>
              <w:t>de custo benefício.</w:t>
            </w:r>
          </w:p>
          <w:p w14:paraId="14A38BF8" w14:textId="77777777" w:rsidR="00255D59" w:rsidRDefault="00255D59" w:rsidP="00C24131">
            <w:pPr>
              <w:rPr>
                <w:rFonts w:cs="Calibri"/>
                <w:b/>
                <w:bCs/>
                <w:color w:val="000000" w:themeColor="text1"/>
              </w:rPr>
            </w:pPr>
          </w:p>
        </w:tc>
      </w:tr>
    </w:tbl>
    <w:p w14:paraId="70BF3478" w14:textId="0C7F22E9" w:rsidR="00255D59" w:rsidRPr="00793FE6" w:rsidRDefault="00255D59" w:rsidP="69456155">
      <w:pPr>
        <w:jc w:val="both"/>
        <w:rPr>
          <w:rFonts w:cs="Calibri"/>
          <w:color w:val="000000" w:themeColor="text1"/>
        </w:rPr>
      </w:pPr>
    </w:p>
    <w:sectPr w:rsidR="00255D59" w:rsidRPr="00793FE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427C3" w14:textId="77777777" w:rsidR="002C1A8B" w:rsidRDefault="002C1A8B" w:rsidP="00177382">
      <w:pPr>
        <w:spacing w:after="0" w:line="240" w:lineRule="auto"/>
      </w:pPr>
      <w:r>
        <w:separator/>
      </w:r>
    </w:p>
  </w:endnote>
  <w:endnote w:type="continuationSeparator" w:id="0">
    <w:p w14:paraId="702663EC" w14:textId="77777777" w:rsidR="002C1A8B" w:rsidRDefault="002C1A8B" w:rsidP="0017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4CF96" w14:textId="1FED1E86" w:rsidR="00177382" w:rsidRDefault="00177382" w:rsidP="0017738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04357E" wp14:editId="2CF0760A">
              <wp:simplePos x="0" y="0"/>
              <wp:positionH relativeFrom="column">
                <wp:posOffset>-139065</wp:posOffset>
              </wp:positionH>
              <wp:positionV relativeFrom="paragraph">
                <wp:posOffset>114935</wp:posOffset>
              </wp:positionV>
              <wp:extent cx="6384925" cy="0"/>
              <wp:effectExtent l="13335" t="10160" r="12065" b="8890"/>
              <wp:wrapNone/>
              <wp:docPr id="2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4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shapetype id="_x0000_t32" coordsize="21600,21600" o:oned="t" filled="f" o:spt="32" path="m,l21600,21600e" w14:anchorId="017CD004">
              <v:path fillok="f" arrowok="t" o:connecttype="none"/>
              <o:lock v:ext="edit" shapetype="t"/>
            </v:shapetype>
            <v:shape id="Conector de Seta Reta 2" style="position:absolute;margin-left:-10.95pt;margin-top:9.05pt;width:502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66b3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"/>
          </w:pict>
        </mc:Fallback>
      </mc:AlternateContent>
    </w:r>
  </w:p>
  <w:p w14:paraId="5EE94D1A" w14:textId="06B8219C" w:rsidR="00177382" w:rsidRPr="00177382" w:rsidRDefault="00177382" w:rsidP="00177382">
    <w:pPr>
      <w:pStyle w:val="Rodap"/>
      <w:jc w:val="center"/>
      <w:rPr>
        <w:sz w:val="18"/>
      </w:rPr>
    </w:pPr>
    <w:r w:rsidRPr="00177382">
      <w:rPr>
        <w:sz w:val="18"/>
      </w:rPr>
      <w:t>Campus Central Av. Ipiranga, 6681 | CEP 90619-900 | Porto Alegre, RS – Brasil Fone: (51) 3320-3503 | E-mail: relacionamento.gradonline@pucrs.br | www.online.pucrs.br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76CBD" w14:textId="77777777" w:rsidR="002C1A8B" w:rsidRDefault="002C1A8B" w:rsidP="00177382">
      <w:pPr>
        <w:spacing w:after="0" w:line="240" w:lineRule="auto"/>
      </w:pPr>
      <w:r>
        <w:separator/>
      </w:r>
    </w:p>
  </w:footnote>
  <w:footnote w:type="continuationSeparator" w:id="0">
    <w:p w14:paraId="2DAFAC72" w14:textId="77777777" w:rsidR="002C1A8B" w:rsidRDefault="002C1A8B" w:rsidP="0017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41079" w14:textId="15F70CCB" w:rsidR="00177382" w:rsidRDefault="00177382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B28317" wp14:editId="32E87E77">
          <wp:simplePos x="0" y="0"/>
          <wp:positionH relativeFrom="margin">
            <wp:align>center</wp:align>
          </wp:positionH>
          <wp:positionV relativeFrom="paragraph">
            <wp:posOffset>-450215</wp:posOffset>
          </wp:positionV>
          <wp:extent cx="7152005" cy="976630"/>
          <wp:effectExtent l="0" t="0" r="0" b="0"/>
          <wp:wrapThrough wrapText="bothSides">
            <wp:wrapPolygon edited="0">
              <wp:start x="4027" y="3792"/>
              <wp:lineTo x="633" y="5056"/>
              <wp:lineTo x="173" y="5899"/>
              <wp:lineTo x="173" y="16010"/>
              <wp:lineTo x="3797" y="18117"/>
              <wp:lineTo x="58" y="18117"/>
              <wp:lineTo x="58" y="20224"/>
              <wp:lineTo x="21402" y="20224"/>
              <wp:lineTo x="21518" y="18117"/>
              <wp:lineTo x="10759" y="18117"/>
              <wp:lineTo x="5178" y="10533"/>
              <wp:lineTo x="5063" y="5477"/>
              <wp:lineTo x="4488" y="3792"/>
              <wp:lineTo x="4027" y="3792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2005" cy="9772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61C8"/>
    <w:multiLevelType w:val="hybridMultilevel"/>
    <w:tmpl w:val="FACAC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076C9"/>
    <w:multiLevelType w:val="hybridMultilevel"/>
    <w:tmpl w:val="92CAD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56DB8"/>
    <w:multiLevelType w:val="hybridMultilevel"/>
    <w:tmpl w:val="90A44EA4"/>
    <w:lvl w:ilvl="0" w:tplc="D08E90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C7F3A"/>
    <w:multiLevelType w:val="multilevel"/>
    <w:tmpl w:val="40FC998E"/>
    <w:lvl w:ilvl="0">
      <w:start w:val="1"/>
      <w:numFmt w:val="decimal"/>
      <w:lvlText w:val="%1."/>
      <w:lvlJc w:val="left"/>
      <w:pPr>
        <w:ind w:left="502" w:hanging="360"/>
      </w:pPr>
      <w:rPr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96071550">
    <w:abstractNumId w:val="2"/>
  </w:num>
  <w:num w:numId="2" w16cid:durableId="340548803">
    <w:abstractNumId w:val="1"/>
  </w:num>
  <w:num w:numId="3" w16cid:durableId="1499225403">
    <w:abstractNumId w:val="3"/>
  </w:num>
  <w:num w:numId="4" w16cid:durableId="214580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82"/>
    <w:rsid w:val="000B46B1"/>
    <w:rsid w:val="000E14A8"/>
    <w:rsid w:val="000F22CB"/>
    <w:rsid w:val="00151D95"/>
    <w:rsid w:val="00177382"/>
    <w:rsid w:val="001D294C"/>
    <w:rsid w:val="00255D59"/>
    <w:rsid w:val="002C1A8B"/>
    <w:rsid w:val="002D39BC"/>
    <w:rsid w:val="002E5ECB"/>
    <w:rsid w:val="002F076F"/>
    <w:rsid w:val="00390D78"/>
    <w:rsid w:val="003D3C5A"/>
    <w:rsid w:val="004A1302"/>
    <w:rsid w:val="004B16E7"/>
    <w:rsid w:val="00501CC4"/>
    <w:rsid w:val="00545AC4"/>
    <w:rsid w:val="005E2CFA"/>
    <w:rsid w:val="00607BA6"/>
    <w:rsid w:val="006D03B0"/>
    <w:rsid w:val="00701235"/>
    <w:rsid w:val="00751CAB"/>
    <w:rsid w:val="007B68FB"/>
    <w:rsid w:val="00802FE6"/>
    <w:rsid w:val="008A2A8E"/>
    <w:rsid w:val="008B6FA5"/>
    <w:rsid w:val="008D0251"/>
    <w:rsid w:val="0090607D"/>
    <w:rsid w:val="009654FA"/>
    <w:rsid w:val="00974916"/>
    <w:rsid w:val="00A5613A"/>
    <w:rsid w:val="00A72577"/>
    <w:rsid w:val="00A94F0B"/>
    <w:rsid w:val="00AB2AC4"/>
    <w:rsid w:val="00B035B4"/>
    <w:rsid w:val="00B3623C"/>
    <w:rsid w:val="00B71007"/>
    <w:rsid w:val="00C225E1"/>
    <w:rsid w:val="00C87B0E"/>
    <w:rsid w:val="00CC05D0"/>
    <w:rsid w:val="00D40271"/>
    <w:rsid w:val="00D604DC"/>
    <w:rsid w:val="00D853C2"/>
    <w:rsid w:val="00E40F97"/>
    <w:rsid w:val="00F86CEF"/>
    <w:rsid w:val="00FA2D8B"/>
    <w:rsid w:val="00FC1CE8"/>
    <w:rsid w:val="00FE5146"/>
    <w:rsid w:val="00FF5445"/>
    <w:rsid w:val="0199242D"/>
    <w:rsid w:val="01C64486"/>
    <w:rsid w:val="03765FA8"/>
    <w:rsid w:val="0580BFE3"/>
    <w:rsid w:val="05A6836C"/>
    <w:rsid w:val="06AE006A"/>
    <w:rsid w:val="0AE4E231"/>
    <w:rsid w:val="0B47584B"/>
    <w:rsid w:val="0E6BFB1A"/>
    <w:rsid w:val="10C3728A"/>
    <w:rsid w:val="13FB134C"/>
    <w:rsid w:val="15662785"/>
    <w:rsid w:val="159FDED9"/>
    <w:rsid w:val="16B61225"/>
    <w:rsid w:val="1701F7E6"/>
    <w:rsid w:val="172C0B2D"/>
    <w:rsid w:val="196C47C2"/>
    <w:rsid w:val="1C120DCB"/>
    <w:rsid w:val="219B088D"/>
    <w:rsid w:val="21F59C04"/>
    <w:rsid w:val="27E03D27"/>
    <w:rsid w:val="280A4A11"/>
    <w:rsid w:val="285D3EEB"/>
    <w:rsid w:val="29378A98"/>
    <w:rsid w:val="2B2A5708"/>
    <w:rsid w:val="2C6F2B5A"/>
    <w:rsid w:val="2CC62769"/>
    <w:rsid w:val="30FD0928"/>
    <w:rsid w:val="33213D9B"/>
    <w:rsid w:val="34D63F52"/>
    <w:rsid w:val="364D6C40"/>
    <w:rsid w:val="371F1E22"/>
    <w:rsid w:val="38365482"/>
    <w:rsid w:val="40992D4D"/>
    <w:rsid w:val="43215F54"/>
    <w:rsid w:val="48639022"/>
    <w:rsid w:val="4987F5B8"/>
    <w:rsid w:val="4C313932"/>
    <w:rsid w:val="5058EABE"/>
    <w:rsid w:val="52BFFC07"/>
    <w:rsid w:val="5369D58F"/>
    <w:rsid w:val="566D7ABE"/>
    <w:rsid w:val="592F3D8B"/>
    <w:rsid w:val="59C2EF6F"/>
    <w:rsid w:val="5C66DE4D"/>
    <w:rsid w:val="5E02AEAE"/>
    <w:rsid w:val="5F86EB44"/>
    <w:rsid w:val="5F9E7F0F"/>
    <w:rsid w:val="6471F032"/>
    <w:rsid w:val="69456155"/>
    <w:rsid w:val="69FF4499"/>
    <w:rsid w:val="6CEBB8BC"/>
    <w:rsid w:val="6D579CAD"/>
    <w:rsid w:val="6F17681F"/>
    <w:rsid w:val="74F41EB8"/>
    <w:rsid w:val="75FDCEAA"/>
    <w:rsid w:val="768FEF19"/>
    <w:rsid w:val="77F241E6"/>
    <w:rsid w:val="783B8BE0"/>
    <w:rsid w:val="7A36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F67B0"/>
  <w15:chartTrackingRefBased/>
  <w15:docId w15:val="{A63B8255-8F8C-473D-ADAD-0627EFB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D5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382"/>
  </w:style>
  <w:style w:type="paragraph" w:styleId="Rodap">
    <w:name w:val="footer"/>
    <w:basedOn w:val="Normal"/>
    <w:link w:val="Rodap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382"/>
  </w:style>
  <w:style w:type="table" w:styleId="Tabelacomgrade">
    <w:name w:val="Table Grid"/>
    <w:basedOn w:val="Tabelanormal"/>
    <w:uiPriority w:val="39"/>
    <w:rsid w:val="0050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6CEF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607D"/>
    <w:pPr>
      <w:ind w:left="720"/>
      <w:contextualSpacing/>
    </w:pPr>
  </w:style>
  <w:style w:type="character" w:customStyle="1" w:styleId="normaltextrun">
    <w:name w:val="normaltextrun"/>
    <w:basedOn w:val="Fontepargpadro"/>
    <w:rsid w:val="00151D95"/>
  </w:style>
  <w:style w:type="character" w:styleId="Refdecomentrio">
    <w:name w:val="annotation reference"/>
    <w:basedOn w:val="Fontepargpadro"/>
    <w:uiPriority w:val="99"/>
    <w:semiHidden/>
    <w:unhideWhenUsed/>
    <w:rsid w:val="00FC1CE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C1CE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C1CE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C1CE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C1CE8"/>
    <w:rPr>
      <w:rFonts w:ascii="Calibri" w:eastAsia="Calibri" w:hAnsi="Calibri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1C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1CE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AC87F7ABA081459D166A53740DAF8F" ma:contentTypeVersion="18" ma:contentTypeDescription="Crie um novo documento." ma:contentTypeScope="" ma:versionID="39c285ffdbea7ac2e435d54f5595b339">
  <xsd:schema xmlns:xsd="http://www.w3.org/2001/XMLSchema" xmlns:xs="http://www.w3.org/2001/XMLSchema" xmlns:p="http://schemas.microsoft.com/office/2006/metadata/properties" xmlns:ns2="f98c57a3-5bc3-4597-ba27-65647b07de55" xmlns:ns3="b17d4a6d-caf1-4549-9446-8391c910ad18" targetNamespace="http://schemas.microsoft.com/office/2006/metadata/properties" ma:root="true" ma:fieldsID="372b68704485b1f1e3b08842c6485768" ns2:_="" ns3:_="">
    <xsd:import namespace="f98c57a3-5bc3-4597-ba27-65647b07de55"/>
    <xsd:import namespace="b17d4a6d-caf1-4549-9446-8391c910a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57a3-5bc3-4597-ba27-65647b07d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d4a6d-caf1-4549-9446-8391c910a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dd6e133-d4be-499c-b939-04e9fa549399}" ma:internalName="TaxCatchAll" ma:showField="CatchAllData" ma:web="b17d4a6d-caf1-4549-9446-8391c910a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7d4a6d-caf1-4549-9446-8391c910ad18" xsi:nil="true"/>
    <lcf76f155ced4ddcb4097134ff3c332f xmlns="f98c57a3-5bc3-4597-ba27-65647b07de5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F33A-1518-43F2-A4E5-A7DE82D20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c57a3-5bc3-4597-ba27-65647b07de55"/>
    <ds:schemaRef ds:uri="b17d4a6d-caf1-4549-9446-8391c910a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93B9FC-456C-46BA-ABE7-4E86A6CE68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11A0B-354D-477E-AF27-C929DD9532C2}">
  <ds:schemaRefs>
    <ds:schemaRef ds:uri="http://schemas.microsoft.com/office/2006/metadata/properties"/>
    <ds:schemaRef ds:uri="http://schemas.microsoft.com/office/infopath/2007/PartnerControls"/>
    <ds:schemaRef ds:uri="b17d4a6d-caf1-4549-9446-8391c910ad18"/>
    <ds:schemaRef ds:uri="f98c57a3-5bc3-4597-ba27-65647b07de55"/>
  </ds:schemaRefs>
</ds:datastoreItem>
</file>

<file path=customXml/itemProps4.xml><?xml version="1.0" encoding="utf-8"?>
<ds:datastoreItem xmlns:ds="http://schemas.openxmlformats.org/officeDocument/2006/customXml" ds:itemID="{899BA3AC-94E1-410E-ABF5-D2DC271C5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604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Trindade</dc:creator>
  <cp:keywords/>
  <dc:description/>
  <cp:lastModifiedBy>João Henrique Santos</cp:lastModifiedBy>
  <cp:revision>5</cp:revision>
  <dcterms:created xsi:type="dcterms:W3CDTF">2024-06-26T20:52:00Z</dcterms:created>
  <dcterms:modified xsi:type="dcterms:W3CDTF">2024-11-15T14:16:00Z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0x01010057AC87F7ABA081459D166A53740DAF8F</vt:lpwstr>
  </property>
</Properties>
</file>