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83B" w:rsidRPr="00BB5BC4" w:rsidRDefault="00F2083B" w:rsidP="00F2083B">
      <w:pPr>
        <w:pStyle w:val="NoSpacing"/>
        <w:rPr>
          <w:b/>
        </w:rPr>
      </w:pPr>
      <w:r w:rsidRPr="00BB5BC4">
        <w:rPr>
          <w:b/>
        </w:rPr>
        <w:t>APPENDICES</w:t>
      </w:r>
    </w:p>
    <w:p w:rsidR="00F2083B" w:rsidRPr="00BB5BC4" w:rsidRDefault="00F2083B" w:rsidP="00F2083B">
      <w:pPr>
        <w:pStyle w:val="NoSpacing"/>
      </w:pPr>
    </w:p>
    <w:p w:rsidR="00F2083B" w:rsidRPr="00BB5BC4" w:rsidRDefault="00F2083B" w:rsidP="00F2083B">
      <w:pPr>
        <w:pStyle w:val="NoSpacing"/>
        <w:rPr>
          <w:b/>
          <w:u w:val="single"/>
        </w:rPr>
      </w:pPr>
      <w:r w:rsidRPr="00BB5BC4">
        <w:rPr>
          <w:b/>
          <w:u w:val="single"/>
        </w:rPr>
        <w:t>Appendix 1:  Naïve Bayes classifier methods</w:t>
      </w:r>
    </w:p>
    <w:p w:rsidR="00F2083B" w:rsidRPr="00BB5BC4" w:rsidRDefault="00F2083B" w:rsidP="00F2083B">
      <w:pPr>
        <w:pStyle w:val="NoSpacing"/>
      </w:pPr>
    </w:p>
    <w:p w:rsidR="00F2083B" w:rsidRPr="00BB5BC4" w:rsidRDefault="00F2083B" w:rsidP="00F2083B">
      <w:pPr>
        <w:pStyle w:val="NoSpacing"/>
      </w:pPr>
      <w:r w:rsidRPr="00BB5BC4">
        <w:t>The probability (P) of any course being in a department D given its course description of words w</w:t>
      </w:r>
      <w:r w:rsidRPr="00BB5BC4">
        <w:rPr>
          <w:vertAlign w:val="subscript"/>
        </w:rPr>
        <w:t>1</w:t>
      </w:r>
      <w:r w:rsidRPr="00BB5BC4">
        <w:t>, w</w:t>
      </w:r>
      <w:r w:rsidRPr="00BB5BC4">
        <w:rPr>
          <w:vertAlign w:val="subscript"/>
        </w:rPr>
        <w:t>2</w:t>
      </w:r>
      <w:r w:rsidRPr="00BB5BC4">
        <w:t>, w</w:t>
      </w:r>
      <w:r w:rsidRPr="00BB5BC4">
        <w:rPr>
          <w:vertAlign w:val="subscript"/>
        </w:rPr>
        <w:t>3</w:t>
      </w:r>
      <w:r w:rsidRPr="00BB5BC4">
        <w:t>….</w:t>
      </w:r>
      <w:proofErr w:type="spellStart"/>
      <w:r w:rsidRPr="00BB5BC4">
        <w:t>w</w:t>
      </w:r>
      <w:r w:rsidRPr="00BB5BC4">
        <w:rPr>
          <w:vertAlign w:val="subscript"/>
        </w:rPr>
        <w:t>i</w:t>
      </w:r>
      <w:proofErr w:type="spellEnd"/>
      <w:r w:rsidRPr="00BB5BC4">
        <w:t xml:space="preserve"> is: </w:t>
      </w:r>
    </w:p>
    <w:p w:rsidR="00F2083B" w:rsidRPr="00BB5BC4" w:rsidRDefault="00F2083B" w:rsidP="00F2083B">
      <w:pPr>
        <w:pStyle w:val="NoSpacing"/>
        <w:jc w:val="center"/>
      </w:pPr>
      <w:r w:rsidRPr="00BB5BC4">
        <w:t xml:space="preserve">P in D = </w:t>
      </w:r>
      <w:proofErr w:type="gramStart"/>
      <w:r w:rsidRPr="00BB5BC4">
        <w:t>P(</w:t>
      </w:r>
      <w:proofErr w:type="gramEnd"/>
      <w:r w:rsidRPr="00BB5BC4">
        <w:t>w</w:t>
      </w:r>
      <w:r w:rsidRPr="00BB5BC4">
        <w:rPr>
          <w:vertAlign w:val="subscript"/>
        </w:rPr>
        <w:t>1</w:t>
      </w:r>
      <w:r w:rsidRPr="00BB5BC4">
        <w:t xml:space="preserve"> | D) * P(w</w:t>
      </w:r>
      <w:r w:rsidRPr="00BB5BC4">
        <w:rPr>
          <w:vertAlign w:val="subscript"/>
        </w:rPr>
        <w:t>2</w:t>
      </w:r>
      <w:r w:rsidRPr="00BB5BC4">
        <w:t xml:space="preserve"> | D) * …  P(</w:t>
      </w:r>
      <w:proofErr w:type="spellStart"/>
      <w:r w:rsidRPr="00BB5BC4">
        <w:t>w</w:t>
      </w:r>
      <w:r w:rsidRPr="00BB5BC4">
        <w:rPr>
          <w:vertAlign w:val="subscript"/>
        </w:rPr>
        <w:t>i</w:t>
      </w:r>
      <w:proofErr w:type="spellEnd"/>
      <w:r w:rsidRPr="00BB5BC4">
        <w:t xml:space="preserve"> | D) * P (D)</w:t>
      </w:r>
    </w:p>
    <w:p w:rsidR="00F2083B" w:rsidRPr="00BB5BC4" w:rsidRDefault="00F2083B" w:rsidP="00F2083B">
      <w:pPr>
        <w:pStyle w:val="NoSpacing"/>
        <w:ind w:firstLine="720"/>
      </w:pPr>
      <w:r w:rsidRPr="00BB5BC4">
        <w:t xml:space="preserve">In other words, the probability of any course being in a department D depends on the conditional probabilities of each of the words in its course description being in that department and the probability that the course is in that department based on the size of the department alone. For each test tuple, the classifier calculates P in D for all 150 departments and then assigns the tuple to the department with the highest probability. We achieved the best results when inflation was .00001 and stop words were dropped (Table X, Figure X). Using these parameters, our classifier achieved 39.4% accuracy: 248 out of 629 testing tuples were classified to the correct department. </w:t>
      </w:r>
    </w:p>
    <w:p w:rsidR="00F2083B" w:rsidRPr="00BB5BC4" w:rsidRDefault="00F2083B" w:rsidP="00F2083B">
      <w:pPr>
        <w:pStyle w:val="NoSpacing"/>
      </w:pPr>
      <w:r w:rsidRPr="00BB5BC4">
        <w:tab/>
        <w:t xml:space="preserve">In Python, we built a dictionary of conditional probabilities with {word, department} as {key, value} pairs. The probability of </w:t>
      </w:r>
      <w:proofErr w:type="gramStart"/>
      <w:r w:rsidRPr="00BB5BC4">
        <w:t>P(</w:t>
      </w:r>
      <w:proofErr w:type="spellStart"/>
      <w:proofErr w:type="gramEnd"/>
      <w:r w:rsidRPr="00BB5BC4">
        <w:t>w</w:t>
      </w:r>
      <w:r w:rsidRPr="00BB5BC4">
        <w:rPr>
          <w:vertAlign w:val="subscript"/>
        </w:rPr>
        <w:t>i</w:t>
      </w:r>
      <w:proofErr w:type="spellEnd"/>
      <w:r w:rsidRPr="00BB5BC4">
        <w:t xml:space="preserve"> | D) was calculated as the percentage of courses within D that contained at least one instance of </w:t>
      </w:r>
      <w:proofErr w:type="spellStart"/>
      <w:r w:rsidRPr="00BB5BC4">
        <w:t>w</w:t>
      </w:r>
      <w:r w:rsidRPr="00BB5BC4">
        <w:rPr>
          <w:vertAlign w:val="subscript"/>
        </w:rPr>
        <w:t>i</w:t>
      </w:r>
      <w:proofErr w:type="spellEnd"/>
      <w:r w:rsidRPr="00BB5BC4">
        <w:t xml:space="preserve">. For example, if the word “modern” appeared in 3 out of 10 classes in the English department, the conditional probability of (“modern” | English) would be 30%. If a word in the testing tuple is not in the training set, we set the probability </w:t>
      </w:r>
      <w:proofErr w:type="gramStart"/>
      <w:r w:rsidRPr="00BB5BC4">
        <w:t>P(</w:t>
      </w:r>
      <w:proofErr w:type="spellStart"/>
      <w:proofErr w:type="gramEnd"/>
      <w:r w:rsidRPr="00BB5BC4">
        <w:t>w</w:t>
      </w:r>
      <w:r w:rsidRPr="00BB5BC4">
        <w:rPr>
          <w:vertAlign w:val="subscript"/>
        </w:rPr>
        <w:t>i</w:t>
      </w:r>
      <w:proofErr w:type="spellEnd"/>
      <w:r w:rsidRPr="00BB5BC4">
        <w:t xml:space="preserve"> | D) as 1, effectively dropping this word from being used in the classification process. If a word is in the testing tuple and in the training set, but has never been used in any of the course descriptions in department for which we are calculating the probability, then </w:t>
      </w:r>
      <w:proofErr w:type="gramStart"/>
      <w:r w:rsidRPr="00BB5BC4">
        <w:t>P(</w:t>
      </w:r>
      <w:proofErr w:type="spellStart"/>
      <w:proofErr w:type="gramEnd"/>
      <w:r w:rsidRPr="00BB5BC4">
        <w:t>w</w:t>
      </w:r>
      <w:r w:rsidRPr="00BB5BC4">
        <w:rPr>
          <w:vertAlign w:val="subscript"/>
        </w:rPr>
        <w:t>i</w:t>
      </w:r>
      <w:proofErr w:type="spellEnd"/>
      <w:r w:rsidRPr="00BB5BC4">
        <w:t xml:space="preserve"> | D) is technically 0. Since this would result in the entire P in D being zero, we used a </w:t>
      </w:r>
      <w:proofErr w:type="spellStart"/>
      <w:r w:rsidRPr="00BB5BC4">
        <w:t>Laplacian</w:t>
      </w:r>
      <w:proofErr w:type="spellEnd"/>
      <w:r w:rsidRPr="00BB5BC4">
        <w:t xml:space="preserve"> correction to inflate the numerator and denominator to yield a non-zero probability. For example, if the testing tuple word “ancient” had never appeared in any of the 10 courses that represent the English department in the training set, but had appeared elsewhere in the training set, the P(“ancient” | English) would be (0+inflation)/(10+ inflation). We varied our inflation parameter by orders of magnitude from 10-7 to 1. We repeated all trials with and without the stop words.</w:t>
      </w:r>
    </w:p>
    <w:p w:rsidR="00F2083B" w:rsidRPr="00BB5BC4" w:rsidRDefault="00F2083B" w:rsidP="00F2083B">
      <w:pPr>
        <w:pStyle w:val="NoSpacing"/>
      </w:pPr>
      <w:r w:rsidRPr="00BB5BC4">
        <w:tab/>
        <w:t xml:space="preserve">The inflation parameter was very important in determining the accuracy of the classifier. When the inflation parameter is set too high, the conditional probabilities become very large, especially in departments with very few classes. The resulting </w:t>
      </w:r>
      <w:proofErr w:type="spellStart"/>
      <w:r w:rsidRPr="00BB5BC4">
        <w:t>overinflation</w:t>
      </w:r>
      <w:proofErr w:type="spellEnd"/>
      <w:r w:rsidRPr="00BB5BC4">
        <w:t xml:space="preserve"> results in almost all testing tuples being classified into the miniscule Telugu or Science and Technology departments. Removal of stop words only marginally improved classification accuracy. This may not be surprising given that the stop words probably are evenly represented across departments.  However, removing the 277 stop words decreased the time the classification took.</w:t>
      </w:r>
    </w:p>
    <w:p w:rsidR="00F2083B" w:rsidRPr="00BB5BC4" w:rsidRDefault="00F2083B" w:rsidP="00F2083B">
      <w:pPr>
        <w:pStyle w:val="NoSpacing"/>
      </w:pPr>
    </w:p>
    <w:p w:rsidR="00F2083B" w:rsidRPr="00BB5BC4" w:rsidRDefault="00F2083B" w:rsidP="00F2083B">
      <w:pPr>
        <w:pStyle w:val="NoSpacing"/>
      </w:pPr>
    </w:p>
    <w:p w:rsidR="00F2083B" w:rsidRPr="00BB5BC4" w:rsidRDefault="00F2083B" w:rsidP="00F2083B">
      <w:pPr>
        <w:pStyle w:val="NoSpacing"/>
      </w:pPr>
    </w:p>
    <w:p w:rsidR="00F2083B" w:rsidRDefault="00F2083B" w:rsidP="00F2083B">
      <w:pPr>
        <w:rPr>
          <w:b/>
          <w:u w:val="single"/>
        </w:rPr>
      </w:pPr>
      <w:r>
        <w:rPr>
          <w:b/>
          <w:u w:val="single"/>
        </w:rPr>
        <w:br w:type="page"/>
      </w:r>
    </w:p>
    <w:p w:rsidR="00F2083B" w:rsidRPr="004A4DC5" w:rsidRDefault="00E218D1" w:rsidP="00F2083B">
      <w:pPr>
        <w:pStyle w:val="NoSpacing"/>
        <w:pBdr>
          <w:bottom w:val="single" w:sz="4" w:space="1" w:color="auto"/>
        </w:pBdr>
        <w:rPr>
          <w:b/>
          <w:sz w:val="24"/>
        </w:rPr>
      </w:pPr>
      <w:r>
        <w:rPr>
          <w:b/>
          <w:sz w:val="24"/>
        </w:rPr>
        <w:lastRenderedPageBreak/>
        <w:t>Appendix 2</w:t>
      </w:r>
      <w:r w:rsidR="00F2083B" w:rsidRPr="004A4DC5">
        <w:rPr>
          <w:b/>
          <w:sz w:val="24"/>
        </w:rPr>
        <w:t xml:space="preserve">: </w:t>
      </w:r>
      <w:r w:rsidR="00F2083B">
        <w:rPr>
          <w:b/>
          <w:sz w:val="24"/>
        </w:rPr>
        <w:t>Naïve Bayes Classifier Results</w:t>
      </w:r>
    </w:p>
    <w:p w:rsidR="00F2083B" w:rsidRPr="00BB5BC4" w:rsidRDefault="00F2083B" w:rsidP="00F2083B">
      <w:pPr>
        <w:pStyle w:val="NoSpacing"/>
      </w:pPr>
    </w:p>
    <w:p w:rsidR="00F2083B" w:rsidRPr="00BB5BC4" w:rsidRDefault="00F2083B" w:rsidP="00F2083B">
      <w:pPr>
        <w:pStyle w:val="NoSpacing"/>
      </w:pPr>
      <w:proofErr w:type="gramStart"/>
      <w:r w:rsidRPr="00BB5BC4">
        <w:t>TABLE A-1.</w:t>
      </w:r>
      <w:proofErr w:type="gramEnd"/>
      <w:r w:rsidRPr="00BB5BC4">
        <w:t xml:space="preserve">  </w:t>
      </w:r>
      <w:proofErr w:type="gramStart"/>
      <w:r w:rsidRPr="00BB5BC4">
        <w:t>Classifier accuracy.</w:t>
      </w:r>
      <w:proofErr w:type="gramEnd"/>
    </w:p>
    <w:tbl>
      <w:tblPr>
        <w:tblW w:w="5240"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40"/>
        <w:gridCol w:w="1300"/>
        <w:gridCol w:w="1300"/>
        <w:gridCol w:w="1300"/>
      </w:tblGrid>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center"/>
              <w:rPr>
                <w:rFonts w:eastAsia="Times New Roman" w:cs="Times New Roman"/>
                <w:b/>
                <w:color w:val="000000"/>
              </w:rPr>
            </w:pPr>
            <w:r w:rsidRPr="00BB5BC4">
              <w:rPr>
                <w:rFonts w:eastAsia="Times New Roman" w:cs="Times New Roman"/>
                <w:b/>
                <w:color w:val="000000"/>
              </w:rPr>
              <w:t>Inflation parameter</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b/>
                <w:color w:val="000000"/>
              </w:rPr>
            </w:pPr>
            <w:proofErr w:type="spellStart"/>
            <w:r w:rsidRPr="00BB5BC4">
              <w:rPr>
                <w:rFonts w:eastAsia="Times New Roman" w:cs="Times New Roman"/>
                <w:b/>
                <w:color w:val="000000"/>
              </w:rPr>
              <w:t>Stopwords</w:t>
            </w:r>
            <w:proofErr w:type="spellEnd"/>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b/>
                <w:color w:val="000000"/>
              </w:rPr>
            </w:pPr>
            <w:r w:rsidRPr="00BB5BC4">
              <w:rPr>
                <w:rFonts w:eastAsia="Times New Roman" w:cs="Times New Roman"/>
                <w:b/>
                <w:color w:val="000000"/>
              </w:rPr>
              <w:t>Correctly classified</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b/>
                <w:color w:val="000000"/>
              </w:rPr>
            </w:pPr>
            <w:r w:rsidRPr="00BB5BC4">
              <w:rPr>
                <w:rFonts w:eastAsia="Times New Roman" w:cs="Times New Roman"/>
                <w:b/>
                <w:color w:val="000000"/>
              </w:rPr>
              <w:t>Accuracy</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0.0000001</w:t>
            </w:r>
          </w:p>
        </w:tc>
        <w:tc>
          <w:tcPr>
            <w:tcW w:w="1300" w:type="dxa"/>
            <w:shd w:val="clear" w:color="auto" w:fill="auto"/>
            <w:noWrap/>
            <w:hideMark/>
          </w:tcPr>
          <w:p w:rsidR="00F2083B" w:rsidRPr="00BB5BC4" w:rsidRDefault="00E218D1" w:rsidP="000548A3">
            <w:pPr>
              <w:spacing w:after="0" w:line="240" w:lineRule="auto"/>
              <w:jc w:val="center"/>
              <w:rPr>
                <w:rFonts w:eastAsia="Times New Roman" w:cs="Times New Roman"/>
                <w:color w:val="000000"/>
              </w:rPr>
            </w:pPr>
            <w:r w:rsidRPr="00BB5BC4">
              <w:rPr>
                <w:rFonts w:eastAsia="Times New Roman" w:cs="Times New Roman"/>
                <w:color w:val="000000"/>
              </w:rPr>
              <w:t>I</w:t>
            </w:r>
            <w:r w:rsidR="00F2083B" w:rsidRPr="00BB5BC4">
              <w:rPr>
                <w:rFonts w:eastAsia="Times New Roman" w:cs="Times New Roman"/>
                <w:color w:val="000000"/>
              </w:rPr>
              <w:t>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240</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0.382</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0.0000001</w:t>
            </w:r>
          </w:p>
        </w:tc>
        <w:tc>
          <w:tcPr>
            <w:tcW w:w="1300" w:type="dxa"/>
            <w:shd w:val="clear" w:color="auto" w:fill="auto"/>
            <w:noWrap/>
            <w:hideMark/>
          </w:tcPr>
          <w:p w:rsidR="00F2083B" w:rsidRPr="00BB5BC4" w:rsidRDefault="00E218D1" w:rsidP="000548A3">
            <w:pPr>
              <w:spacing w:after="0" w:line="240" w:lineRule="auto"/>
              <w:jc w:val="center"/>
              <w:rPr>
                <w:rFonts w:eastAsia="Times New Roman" w:cs="Times New Roman"/>
                <w:color w:val="000000"/>
              </w:rPr>
            </w:pPr>
            <w:r w:rsidRPr="00BB5BC4">
              <w:rPr>
                <w:rFonts w:eastAsia="Times New Roman" w:cs="Times New Roman"/>
                <w:color w:val="000000"/>
              </w:rPr>
              <w:t>O</w:t>
            </w:r>
            <w:r w:rsidR="00F2083B" w:rsidRPr="00BB5BC4">
              <w:rPr>
                <w:rFonts w:eastAsia="Times New Roman" w:cs="Times New Roman"/>
                <w:color w:val="000000"/>
              </w:rPr>
              <w:t>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244</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0.388</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0.000001</w:t>
            </w:r>
          </w:p>
        </w:tc>
        <w:tc>
          <w:tcPr>
            <w:tcW w:w="1300" w:type="dxa"/>
            <w:shd w:val="clear" w:color="auto" w:fill="auto"/>
            <w:noWrap/>
            <w:hideMark/>
          </w:tcPr>
          <w:p w:rsidR="00F2083B" w:rsidRPr="00BB5BC4" w:rsidRDefault="00E218D1" w:rsidP="000548A3">
            <w:pPr>
              <w:spacing w:after="0" w:line="240" w:lineRule="auto"/>
              <w:jc w:val="center"/>
              <w:rPr>
                <w:rFonts w:eastAsia="Times New Roman" w:cs="Times New Roman"/>
                <w:color w:val="000000"/>
              </w:rPr>
            </w:pPr>
            <w:r w:rsidRPr="00BB5BC4">
              <w:rPr>
                <w:rFonts w:eastAsia="Times New Roman" w:cs="Times New Roman"/>
                <w:color w:val="000000"/>
              </w:rPr>
              <w:t>I</w:t>
            </w:r>
            <w:r w:rsidR="00F2083B" w:rsidRPr="00BB5BC4">
              <w:rPr>
                <w:rFonts w:eastAsia="Times New Roman" w:cs="Times New Roman"/>
                <w:color w:val="000000"/>
              </w:rPr>
              <w:t>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241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0.383</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0.000001</w:t>
            </w:r>
          </w:p>
        </w:tc>
        <w:tc>
          <w:tcPr>
            <w:tcW w:w="1300" w:type="dxa"/>
            <w:shd w:val="clear" w:color="auto" w:fill="auto"/>
            <w:noWrap/>
            <w:hideMark/>
          </w:tcPr>
          <w:p w:rsidR="00F2083B" w:rsidRPr="00BB5BC4" w:rsidRDefault="00E218D1" w:rsidP="000548A3">
            <w:pPr>
              <w:spacing w:after="0" w:line="240" w:lineRule="auto"/>
              <w:jc w:val="center"/>
              <w:rPr>
                <w:rFonts w:eastAsia="Times New Roman" w:cs="Times New Roman"/>
                <w:color w:val="000000"/>
              </w:rPr>
            </w:pPr>
            <w:r w:rsidRPr="00BB5BC4">
              <w:rPr>
                <w:rFonts w:eastAsia="Times New Roman" w:cs="Times New Roman"/>
                <w:color w:val="000000"/>
              </w:rPr>
              <w:t>O</w:t>
            </w:r>
            <w:r w:rsidR="00F2083B" w:rsidRPr="00BB5BC4">
              <w:rPr>
                <w:rFonts w:eastAsia="Times New Roman" w:cs="Times New Roman"/>
                <w:color w:val="000000"/>
              </w:rPr>
              <w:t>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246</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0.391</w:t>
            </w:r>
          </w:p>
        </w:tc>
      </w:tr>
      <w:tr w:rsidR="00F2083B" w:rsidRPr="00BB5BC4" w:rsidTr="000548A3">
        <w:trPr>
          <w:trHeight w:val="300"/>
          <w:tblHeader/>
        </w:trPr>
        <w:tc>
          <w:tcPr>
            <w:tcW w:w="1340" w:type="dxa"/>
            <w:tcBorders>
              <w:bottom w:val="single" w:sz="8" w:space="0" w:color="auto"/>
            </w:tcBorders>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0.00001</w:t>
            </w:r>
          </w:p>
        </w:tc>
        <w:tc>
          <w:tcPr>
            <w:tcW w:w="1300" w:type="dxa"/>
            <w:tcBorders>
              <w:bottom w:val="single" w:sz="8" w:space="0" w:color="auto"/>
            </w:tcBorders>
            <w:shd w:val="clear" w:color="auto" w:fill="auto"/>
            <w:noWrap/>
            <w:hideMark/>
          </w:tcPr>
          <w:p w:rsidR="00F2083B" w:rsidRPr="00BB5BC4" w:rsidRDefault="00E218D1" w:rsidP="000548A3">
            <w:pPr>
              <w:spacing w:after="0" w:line="240" w:lineRule="auto"/>
              <w:jc w:val="center"/>
              <w:rPr>
                <w:rFonts w:eastAsia="Times New Roman" w:cs="Times New Roman"/>
                <w:color w:val="000000"/>
              </w:rPr>
            </w:pPr>
            <w:r w:rsidRPr="00BB5BC4">
              <w:rPr>
                <w:rFonts w:eastAsia="Times New Roman" w:cs="Times New Roman"/>
                <w:color w:val="000000"/>
              </w:rPr>
              <w:t>I</w:t>
            </w:r>
            <w:r w:rsidR="00F2083B" w:rsidRPr="00BB5BC4">
              <w:rPr>
                <w:rFonts w:eastAsia="Times New Roman" w:cs="Times New Roman"/>
                <w:color w:val="000000"/>
              </w:rPr>
              <w:t>n</w:t>
            </w:r>
          </w:p>
        </w:tc>
        <w:tc>
          <w:tcPr>
            <w:tcW w:w="1300" w:type="dxa"/>
            <w:tcBorders>
              <w:bottom w:val="single" w:sz="8" w:space="0" w:color="auto"/>
            </w:tcBorders>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243</w:t>
            </w:r>
          </w:p>
        </w:tc>
        <w:tc>
          <w:tcPr>
            <w:tcW w:w="1300" w:type="dxa"/>
            <w:tcBorders>
              <w:bottom w:val="single" w:sz="8" w:space="0" w:color="auto"/>
            </w:tcBorders>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0.386</w:t>
            </w:r>
          </w:p>
        </w:tc>
      </w:tr>
      <w:tr w:rsidR="00F2083B" w:rsidRPr="00BB5BC4" w:rsidTr="000548A3">
        <w:trPr>
          <w:trHeight w:val="300"/>
          <w:tblHeader/>
        </w:trPr>
        <w:tc>
          <w:tcPr>
            <w:tcW w:w="1340" w:type="dxa"/>
            <w:tcBorders>
              <w:right w:val="nil"/>
            </w:tcBorders>
            <w:shd w:val="clear" w:color="auto" w:fill="D9D9D9"/>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0.00001</w:t>
            </w:r>
          </w:p>
        </w:tc>
        <w:tc>
          <w:tcPr>
            <w:tcW w:w="1300" w:type="dxa"/>
            <w:tcBorders>
              <w:left w:val="nil"/>
              <w:right w:val="nil"/>
            </w:tcBorders>
            <w:shd w:val="clear" w:color="auto" w:fill="D9D9D9"/>
            <w:noWrap/>
            <w:hideMark/>
          </w:tcPr>
          <w:p w:rsidR="00F2083B" w:rsidRPr="00BB5BC4" w:rsidRDefault="00E218D1" w:rsidP="000548A3">
            <w:pPr>
              <w:spacing w:after="0" w:line="240" w:lineRule="auto"/>
              <w:jc w:val="center"/>
              <w:rPr>
                <w:rFonts w:eastAsia="Times New Roman" w:cs="Times New Roman"/>
                <w:color w:val="000000"/>
              </w:rPr>
            </w:pPr>
            <w:r w:rsidRPr="00BB5BC4">
              <w:rPr>
                <w:rFonts w:eastAsia="Times New Roman" w:cs="Times New Roman"/>
                <w:color w:val="000000"/>
              </w:rPr>
              <w:t>O</w:t>
            </w:r>
            <w:r w:rsidR="00F2083B" w:rsidRPr="00BB5BC4">
              <w:rPr>
                <w:rFonts w:eastAsia="Times New Roman" w:cs="Times New Roman"/>
                <w:color w:val="000000"/>
              </w:rPr>
              <w:t>ut</w:t>
            </w:r>
          </w:p>
        </w:tc>
        <w:tc>
          <w:tcPr>
            <w:tcW w:w="1300" w:type="dxa"/>
            <w:tcBorders>
              <w:left w:val="nil"/>
              <w:right w:val="nil"/>
            </w:tcBorders>
            <w:shd w:val="clear" w:color="auto" w:fill="D9D9D9"/>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248</w:t>
            </w:r>
          </w:p>
        </w:tc>
        <w:tc>
          <w:tcPr>
            <w:tcW w:w="1300" w:type="dxa"/>
            <w:tcBorders>
              <w:left w:val="nil"/>
            </w:tcBorders>
            <w:shd w:val="clear" w:color="auto" w:fill="D9D9D9"/>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0.394</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in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238</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0.378</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out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233</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0.370</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in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139</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0.221</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out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148</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0.235</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in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34</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0.054</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out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39</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0.062</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in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3</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0.005</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0.1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out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4</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0.006</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in</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0.003</w:t>
            </w:r>
          </w:p>
        </w:tc>
      </w:tr>
      <w:tr w:rsidR="00F2083B" w:rsidRPr="00BB5BC4" w:rsidTr="000548A3">
        <w:trPr>
          <w:trHeight w:val="300"/>
          <w:tblHeader/>
        </w:trPr>
        <w:tc>
          <w:tcPr>
            <w:tcW w:w="1340" w:type="dxa"/>
            <w:shd w:val="clear" w:color="auto" w:fill="auto"/>
            <w:noWrap/>
            <w:hideMark/>
          </w:tcPr>
          <w:p w:rsidR="00F2083B" w:rsidRPr="00BB5BC4" w:rsidRDefault="00F2083B" w:rsidP="000548A3">
            <w:pPr>
              <w:spacing w:after="0" w:line="240" w:lineRule="auto"/>
              <w:jc w:val="right"/>
              <w:rPr>
                <w:rFonts w:eastAsia="Times New Roman" w:cs="Times New Roman"/>
                <w:color w:val="000000"/>
              </w:rPr>
            </w:pPr>
            <w:r w:rsidRPr="00BB5BC4">
              <w:rPr>
                <w:rFonts w:eastAsia="Times New Roman" w:cs="Times New Roman"/>
                <w:color w:val="000000"/>
              </w:rPr>
              <w:t>1</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out</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2</w:t>
            </w:r>
          </w:p>
        </w:tc>
        <w:tc>
          <w:tcPr>
            <w:tcW w:w="1300" w:type="dxa"/>
            <w:shd w:val="clear" w:color="auto" w:fill="auto"/>
            <w:noWrap/>
            <w:hideMark/>
          </w:tcPr>
          <w:p w:rsidR="00F2083B" w:rsidRPr="00BB5BC4" w:rsidRDefault="00F2083B" w:rsidP="000548A3">
            <w:pPr>
              <w:spacing w:after="0" w:line="240" w:lineRule="auto"/>
              <w:jc w:val="center"/>
              <w:rPr>
                <w:rFonts w:eastAsia="Times New Roman" w:cs="Times New Roman"/>
                <w:color w:val="000000"/>
              </w:rPr>
            </w:pPr>
            <w:r w:rsidRPr="00BB5BC4">
              <w:rPr>
                <w:rFonts w:eastAsia="Times New Roman" w:cs="Times New Roman"/>
                <w:color w:val="000000"/>
              </w:rPr>
              <w:t>0.003</w:t>
            </w:r>
          </w:p>
        </w:tc>
      </w:tr>
    </w:tbl>
    <w:p w:rsidR="00F2083B" w:rsidRPr="00BB5BC4" w:rsidRDefault="00F2083B" w:rsidP="00F2083B">
      <w:pPr>
        <w:pStyle w:val="NoSpacing"/>
      </w:pPr>
    </w:p>
    <w:p w:rsidR="00F2083B" w:rsidRPr="00BB5BC4" w:rsidRDefault="00F2083B" w:rsidP="00F2083B">
      <w:pPr>
        <w:pStyle w:val="NoSpacing"/>
      </w:pPr>
      <w:r w:rsidRPr="00BB5BC4">
        <w:t xml:space="preserve">FIGURE A-1. </w:t>
      </w:r>
      <w:proofErr w:type="gramStart"/>
      <w:r w:rsidRPr="00BB5BC4">
        <w:t>Classifier accuracy.</w:t>
      </w:r>
      <w:proofErr w:type="gramEnd"/>
    </w:p>
    <w:p w:rsidR="00F2083B" w:rsidRPr="00BB5BC4" w:rsidRDefault="00F2083B" w:rsidP="00F2083B">
      <w:pPr>
        <w:pStyle w:val="NoSpacing"/>
      </w:pPr>
      <w:r w:rsidRPr="00BB5BC4">
        <w:rPr>
          <w:noProof/>
        </w:rPr>
        <w:drawing>
          <wp:inline distT="0" distB="0" distL="0" distR="0" wp14:anchorId="74335186" wp14:editId="6FCB7AD6">
            <wp:extent cx="4157330" cy="3306726"/>
            <wp:effectExtent l="0" t="0" r="0" b="8255"/>
            <wp:docPr id="3" name="Picture 3" descr="Macintosh HD:Users:joannahsu:Documents:Courses:projectCourse: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annahsu:Documents:Courses:projectCourse:Results.pdf"/>
                    <pic:cNvPicPr>
                      <a:picLocks noChangeAspect="1" noChangeArrowheads="1"/>
                    </pic:cNvPicPr>
                  </pic:nvPicPr>
                  <pic:blipFill rotWithShape="1">
                    <a:blip r:embed="rId7">
                      <a:extLst>
                        <a:ext uri="{28A0092B-C50C-407E-A947-70E740481C1C}">
                          <a14:useLocalDpi xmlns:a14="http://schemas.microsoft.com/office/drawing/2010/main" val="0"/>
                        </a:ext>
                      </a:extLst>
                    </a:blip>
                    <a:srcRect t="4092" b="16368"/>
                    <a:stretch/>
                  </pic:blipFill>
                  <pic:spPr bwMode="auto">
                    <a:xfrm>
                      <a:off x="0" y="0"/>
                      <a:ext cx="4154221" cy="3304253"/>
                    </a:xfrm>
                    <a:prstGeom prst="rect">
                      <a:avLst/>
                    </a:prstGeom>
                    <a:noFill/>
                    <a:ln>
                      <a:noFill/>
                    </a:ln>
                    <a:extLst>
                      <a:ext uri="{53640926-AAD7-44D8-BBD7-CCE9431645EC}">
                        <a14:shadowObscured xmlns:a14="http://schemas.microsoft.com/office/drawing/2010/main"/>
                      </a:ext>
                    </a:extLst>
                  </pic:spPr>
                </pic:pic>
              </a:graphicData>
            </a:graphic>
          </wp:inline>
        </w:drawing>
      </w:r>
    </w:p>
    <w:p w:rsidR="00F2083B" w:rsidRPr="00BB5BC4" w:rsidRDefault="00F2083B" w:rsidP="00F2083B">
      <w:pPr>
        <w:pStyle w:val="NoSpacing"/>
      </w:pPr>
    </w:p>
    <w:p w:rsidR="00F2083B" w:rsidRPr="00BB5BC4" w:rsidRDefault="00F2083B" w:rsidP="00F2083B">
      <w:pPr>
        <w:pStyle w:val="NoSpacing"/>
      </w:pPr>
    </w:p>
    <w:p w:rsidR="00F2083B" w:rsidRDefault="00E218D1" w:rsidP="00F2083B">
      <w:pPr>
        <w:pStyle w:val="NoSpacing"/>
      </w:pPr>
      <w:proofErr w:type="gramStart"/>
      <w:r>
        <w:lastRenderedPageBreak/>
        <w:t>TABLE A3</w:t>
      </w:r>
      <w:r w:rsidR="00F2083B" w:rsidRPr="00BB5BC4">
        <w:t>.</w:t>
      </w:r>
      <w:proofErr w:type="gramEnd"/>
      <w:r w:rsidR="00F2083B" w:rsidRPr="00BB5BC4">
        <w:t xml:space="preserve"> Classifier results by department.  Depart type abbreviations:  ENG=engineering, LANG= language, INT=interdisciplinary, LIB=liberal arts, PROF=professional program, other. </w:t>
      </w:r>
    </w:p>
    <w:p w:rsidR="00F2083B" w:rsidRPr="00BB5BC4" w:rsidRDefault="00F2083B" w:rsidP="00F2083B">
      <w:pPr>
        <w:pStyle w:val="NoSpacing"/>
      </w:pPr>
    </w:p>
    <w:p w:rsidR="00F2083B" w:rsidRDefault="00F2083B" w:rsidP="00F2083B">
      <w:pPr>
        <w:spacing w:after="0" w:line="240" w:lineRule="auto"/>
        <w:rPr>
          <w:rFonts w:eastAsia="Times New Roman" w:cs="Times New Roman"/>
          <w:color w:val="000000"/>
          <w:sz w:val="16"/>
          <w:szCs w:val="16"/>
        </w:rPr>
        <w:sectPr w:rsidR="00F2083B" w:rsidSect="00F2083B">
          <w:footerReference w:type="even" r:id="rId8"/>
          <w:footerReference w:type="default" r:id="rId9"/>
          <w:pgSz w:w="12240" w:h="15840"/>
          <w:pgMar w:top="1440" w:right="1440" w:bottom="1440" w:left="1440" w:header="720" w:footer="720" w:gutter="0"/>
          <w:cols w:space="720"/>
          <w:docGrid w:linePitch="360"/>
        </w:sectPr>
      </w:pPr>
    </w:p>
    <w:tbl>
      <w:tblPr>
        <w:tblW w:w="3975" w:type="dxa"/>
        <w:tblInd w:w="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85"/>
        <w:gridCol w:w="630"/>
        <w:gridCol w:w="812"/>
        <w:gridCol w:w="1350"/>
      </w:tblGrid>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b/>
                <w:color w:val="000000"/>
                <w:sz w:val="16"/>
                <w:szCs w:val="16"/>
              </w:rPr>
            </w:pPr>
            <w:r w:rsidRPr="004A4DC5">
              <w:rPr>
                <w:rFonts w:eastAsia="Times New Roman" w:cs="Times New Roman"/>
                <w:b/>
                <w:color w:val="000000"/>
                <w:sz w:val="16"/>
                <w:szCs w:val="16"/>
              </w:rPr>
              <w:lastRenderedPageBreak/>
              <w:t>Department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b/>
                <w:color w:val="000000"/>
                <w:sz w:val="16"/>
                <w:szCs w:val="16"/>
              </w:rPr>
            </w:pPr>
            <w:r w:rsidRPr="004A4DC5">
              <w:rPr>
                <w:rFonts w:eastAsia="Times New Roman" w:cs="Times New Roman"/>
                <w:b/>
                <w:color w:val="000000"/>
                <w:sz w:val="16"/>
                <w:szCs w:val="16"/>
              </w:rPr>
              <w:t>Type</w:t>
            </w:r>
          </w:p>
        </w:tc>
        <w:tc>
          <w:tcPr>
            <w:tcW w:w="810" w:type="dxa"/>
            <w:shd w:val="clear" w:color="auto" w:fill="auto"/>
            <w:noWrap/>
            <w:vAlign w:val="bottom"/>
            <w:hideMark/>
          </w:tcPr>
          <w:p w:rsidR="00F2083B" w:rsidRPr="004A4DC5" w:rsidRDefault="00F2083B" w:rsidP="000548A3">
            <w:pPr>
              <w:spacing w:after="0" w:line="240" w:lineRule="auto"/>
              <w:rPr>
                <w:rFonts w:eastAsia="Times New Roman" w:cs="Times New Roman"/>
                <w:b/>
                <w:color w:val="000000"/>
                <w:sz w:val="16"/>
                <w:szCs w:val="16"/>
              </w:rPr>
            </w:pPr>
            <w:r w:rsidRPr="004A4DC5">
              <w:rPr>
                <w:rFonts w:eastAsia="Times New Roman" w:cs="Times New Roman"/>
                <w:b/>
                <w:color w:val="000000"/>
                <w:sz w:val="16"/>
                <w:szCs w:val="16"/>
              </w:rPr>
              <w:t>Accuracy</w:t>
            </w:r>
          </w:p>
        </w:tc>
        <w:tc>
          <w:tcPr>
            <w:tcW w:w="1350" w:type="dxa"/>
            <w:shd w:val="clear" w:color="auto" w:fill="auto"/>
            <w:noWrap/>
            <w:vAlign w:val="bottom"/>
            <w:hideMark/>
          </w:tcPr>
          <w:p w:rsidR="00F2083B" w:rsidRPr="004A4DC5" w:rsidRDefault="00F2083B" w:rsidP="000548A3">
            <w:pPr>
              <w:spacing w:after="0" w:line="240" w:lineRule="auto"/>
              <w:rPr>
                <w:rFonts w:eastAsia="Times New Roman" w:cs="Times New Roman"/>
                <w:b/>
                <w:color w:val="000000"/>
                <w:sz w:val="16"/>
                <w:szCs w:val="16"/>
              </w:rPr>
            </w:pPr>
            <w:r>
              <w:rPr>
                <w:rFonts w:eastAsia="Times New Roman" w:cs="Times New Roman"/>
                <w:b/>
                <w:color w:val="000000"/>
                <w:sz w:val="16"/>
                <w:szCs w:val="16"/>
              </w:rPr>
              <w:t xml:space="preserve">Num. Courses in </w:t>
            </w:r>
            <w:r w:rsidRPr="004A4DC5">
              <w:rPr>
                <w:rFonts w:eastAsia="Times New Roman" w:cs="Times New Roman"/>
                <w:b/>
                <w:color w:val="000000"/>
                <w:sz w:val="16"/>
                <w:szCs w:val="16"/>
              </w:rPr>
              <w:t>department</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 RESEC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AEROSPC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AFRICAM</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0.545</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AMERSTD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ANTHRO</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114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ARABIC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ARCH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0.667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93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ART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ART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0.800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ASAMST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ASIANST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ASTRON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BANGLA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BIO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0.444</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BIOLOGY</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BIOPHY</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BUDDSTD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CELTIC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CHEM</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0.222</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91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CHICANO</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CHINESE</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0.667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CHM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CIV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139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CLASSIC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CMPBIO</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COG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COLWRIT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0.667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COM LIT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COMPBIO</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COMPSCI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0.571</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CRIT TH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CY PLAN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DEMOG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DEV STD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DEVP</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DUTCH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lastRenderedPageBreak/>
              <w:t xml:space="preserve"> EA LANG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EAEURST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ECON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EDUC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0.889</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EL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112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ENE RES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ENGIN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ENGLISH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ENV DES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ENV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ENVECON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EPS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ESPM</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0.375</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148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ETH GRP</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ETH STD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EURA 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EWMBA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FILIPN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FILM</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0.750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FOLKLOR</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FRENCH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0.444</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GEOG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GERMAN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0.429</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GMS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GPP</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GREEK</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GWS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HIN-URD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HISTART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HISTORY</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0.727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HMEDSCI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IAS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IND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0.167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INFO</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0.571</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INTEGBI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0.417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123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ISF</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ITALIAN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lastRenderedPageBreak/>
              <w:t xml:space="preserve"> JAPAN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JEWISH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JOURN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0.800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KHMER</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KOREAN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LAN PRO</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LATAMST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LATIN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LD ARCH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LEGALST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LGBT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LINGUIS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LNS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 E 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MALAY/I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MAT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MATH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0.667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MBA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PROF</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110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MCELLBI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0.529</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157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MEC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0.429</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136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MED 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MEDIAST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MFE</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MIL AFF</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MIL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MUSIC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ART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0.889</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NAT RES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NATAMST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NAV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NE STUD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NEUROSC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NSE</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NUC ENG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NUSCTX</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NWMEDIA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OPTOM</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PROF</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PACS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PB HLTH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0.773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210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PERSIAN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PHDBA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lastRenderedPageBreak/>
              <w:t>PHILOS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PHYS ED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PROF</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PHYSICS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0.625</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PLANTBI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POL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0.455</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POLECON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PORTUG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PSYCH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0.167</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PUB POL</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45</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PUNJABI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RELIGST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RHETOR</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 ASIAN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 SEASN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SANSKR</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SCANDIN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0.600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SCMATHE</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PROF</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SEASIAN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SLAVIC</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0.444</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87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SOC WEL</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0.286</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SOCIOL</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0.125</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70</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SPANISH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0.250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33</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STAT</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ENG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STS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TAGALG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TAMIL</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TELUG</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THAI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THEATER</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ART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0.125</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TIBETAN</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0.500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14</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UGBA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0.143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69</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UGIS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INT</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0.333</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51</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VIETNMS</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1.000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VIS SCI</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SCI</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26</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VIS STD</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LIB</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XMBA</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PROF</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27</w:t>
            </w:r>
          </w:p>
        </w:tc>
      </w:tr>
      <w:tr w:rsidR="00F2083B" w:rsidRPr="004A4DC5" w:rsidTr="000548A3">
        <w:trPr>
          <w:trHeight w:val="300"/>
        </w:trPr>
        <w:tc>
          <w:tcPr>
            <w:tcW w:w="1185"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 xml:space="preserve"> YIDDISH</w:t>
            </w:r>
          </w:p>
        </w:tc>
        <w:tc>
          <w:tcPr>
            <w:tcW w:w="630" w:type="dxa"/>
            <w:shd w:val="clear" w:color="auto" w:fill="auto"/>
            <w:noWrap/>
            <w:vAlign w:val="bottom"/>
            <w:hideMark/>
          </w:tcPr>
          <w:p w:rsidR="00F2083B" w:rsidRPr="004A4DC5" w:rsidRDefault="00F2083B" w:rsidP="000548A3">
            <w:pPr>
              <w:spacing w:after="0" w:line="240" w:lineRule="auto"/>
              <w:rPr>
                <w:rFonts w:eastAsia="Times New Roman" w:cs="Times New Roman"/>
                <w:color w:val="000000"/>
                <w:sz w:val="16"/>
                <w:szCs w:val="16"/>
              </w:rPr>
            </w:pPr>
            <w:r w:rsidRPr="004A4DC5">
              <w:rPr>
                <w:rFonts w:eastAsia="Times New Roman" w:cs="Times New Roman"/>
                <w:color w:val="000000"/>
                <w:sz w:val="16"/>
                <w:szCs w:val="16"/>
              </w:rPr>
              <w:t>LANG</w:t>
            </w:r>
          </w:p>
        </w:tc>
        <w:tc>
          <w:tcPr>
            <w:tcW w:w="81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0.000</w:t>
            </w:r>
          </w:p>
        </w:tc>
        <w:tc>
          <w:tcPr>
            <w:tcW w:w="1350" w:type="dxa"/>
            <w:shd w:val="clear" w:color="auto" w:fill="auto"/>
            <w:noWrap/>
            <w:vAlign w:val="bottom"/>
            <w:hideMark/>
          </w:tcPr>
          <w:p w:rsidR="00F2083B" w:rsidRPr="004A4DC5" w:rsidRDefault="00F2083B" w:rsidP="000548A3">
            <w:pPr>
              <w:spacing w:after="0" w:line="240" w:lineRule="auto"/>
              <w:jc w:val="right"/>
              <w:rPr>
                <w:rFonts w:eastAsia="Times New Roman" w:cs="Times New Roman"/>
                <w:color w:val="000000"/>
                <w:sz w:val="16"/>
                <w:szCs w:val="16"/>
              </w:rPr>
            </w:pPr>
            <w:r w:rsidRPr="004A4DC5">
              <w:rPr>
                <w:rFonts w:eastAsia="Times New Roman" w:cs="Times New Roman"/>
                <w:color w:val="000000"/>
                <w:sz w:val="16"/>
                <w:szCs w:val="16"/>
              </w:rPr>
              <w:t>3</w:t>
            </w:r>
          </w:p>
        </w:tc>
      </w:tr>
    </w:tbl>
    <w:p w:rsidR="00F2083B" w:rsidRDefault="00F2083B" w:rsidP="00F2083B">
      <w:pPr>
        <w:pStyle w:val="NoSpacing"/>
        <w:sectPr w:rsidR="00F2083B" w:rsidSect="004A4DC5">
          <w:type w:val="continuous"/>
          <w:pgSz w:w="12240" w:h="15840"/>
          <w:pgMar w:top="1440" w:right="1440" w:bottom="1440" w:left="1440" w:header="720" w:footer="720" w:gutter="0"/>
          <w:cols w:num="2" w:space="720"/>
          <w:docGrid w:linePitch="360"/>
        </w:sectPr>
      </w:pPr>
    </w:p>
    <w:p w:rsidR="00F2083B" w:rsidRDefault="00F2083B" w:rsidP="00F2083B">
      <w:pPr>
        <w:pStyle w:val="NoSpacing"/>
      </w:pPr>
      <w:r>
        <w:lastRenderedPageBreak/>
        <w:t>Appendix 2: Data Set Statistics</w:t>
      </w:r>
    </w:p>
    <w:p w:rsidR="00E218D1" w:rsidRDefault="00E218D1" w:rsidP="00F2083B">
      <w:pPr>
        <w:pStyle w:val="NoSpacing"/>
      </w:pPr>
    </w:p>
    <w:p w:rsidR="00E218D1" w:rsidRDefault="00E218D1" w:rsidP="00F2083B">
      <w:pPr>
        <w:pStyle w:val="NoSpacing"/>
      </w:pPr>
      <w:r>
        <w:t>Number of Words in Course Description</w:t>
      </w:r>
    </w:p>
    <w:p w:rsidR="00F2083B" w:rsidRDefault="00F2083B" w:rsidP="00F2083B">
      <w:pPr>
        <w:pStyle w:val="NoSpacing"/>
      </w:pPr>
    </w:p>
    <w:p w:rsidR="00F2083B" w:rsidRPr="00BB5BC4" w:rsidRDefault="00F2083B" w:rsidP="00F2083B">
      <w:pPr>
        <w:pStyle w:val="NoSpacing"/>
      </w:pPr>
      <w:r w:rsidRPr="00BB5BC4">
        <w:rPr>
          <w:noProof/>
        </w:rPr>
        <w:drawing>
          <wp:inline distT="0" distB="0" distL="0" distR="0" wp14:anchorId="6C345901" wp14:editId="2F475F8B">
            <wp:extent cx="5745707" cy="1569493"/>
            <wp:effectExtent l="0" t="0" r="2667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4ADB" w:rsidRDefault="00A3004E"/>
    <w:p w:rsidR="00E218D1" w:rsidRDefault="00E218D1"/>
    <w:p w:rsidR="00E218D1" w:rsidRDefault="00E218D1">
      <w:bookmarkStart w:id="0" w:name="_GoBack"/>
      <w:bookmarkEnd w:id="0"/>
    </w:p>
    <w:sectPr w:rsidR="00E218D1" w:rsidSect="00FD39F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04E" w:rsidRDefault="00A3004E">
      <w:pPr>
        <w:spacing w:after="0" w:line="240" w:lineRule="auto"/>
      </w:pPr>
      <w:r>
        <w:separator/>
      </w:r>
    </w:p>
  </w:endnote>
  <w:endnote w:type="continuationSeparator" w:id="0">
    <w:p w:rsidR="00A3004E" w:rsidRDefault="00A3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BC4" w:rsidRDefault="00F2083B" w:rsidP="00101D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5BC4" w:rsidRDefault="00A3004E" w:rsidP="00101D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BC4" w:rsidRDefault="00F2083B" w:rsidP="00101D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18D1">
      <w:rPr>
        <w:rStyle w:val="PageNumber"/>
        <w:noProof/>
      </w:rPr>
      <w:t>1</w:t>
    </w:r>
    <w:r>
      <w:rPr>
        <w:rStyle w:val="PageNumber"/>
      </w:rPr>
      <w:fldChar w:fldCharType="end"/>
    </w:r>
  </w:p>
  <w:p w:rsidR="00BB5BC4" w:rsidRDefault="00A3004E" w:rsidP="00101D1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04E" w:rsidRDefault="00A3004E">
      <w:pPr>
        <w:spacing w:after="0" w:line="240" w:lineRule="auto"/>
      </w:pPr>
      <w:r>
        <w:separator/>
      </w:r>
    </w:p>
  </w:footnote>
  <w:footnote w:type="continuationSeparator" w:id="0">
    <w:p w:rsidR="00A3004E" w:rsidRDefault="00A300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F1D"/>
    <w:rsid w:val="004E6F1D"/>
    <w:rsid w:val="0092031D"/>
    <w:rsid w:val="00945F07"/>
    <w:rsid w:val="00A3004E"/>
    <w:rsid w:val="00E218D1"/>
    <w:rsid w:val="00F20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83B"/>
    <w:pPr>
      <w:spacing w:after="0" w:line="240" w:lineRule="auto"/>
    </w:pPr>
  </w:style>
  <w:style w:type="paragraph" w:styleId="Footer">
    <w:name w:val="footer"/>
    <w:basedOn w:val="Normal"/>
    <w:link w:val="FooterChar"/>
    <w:uiPriority w:val="99"/>
    <w:unhideWhenUsed/>
    <w:rsid w:val="00F208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083B"/>
  </w:style>
  <w:style w:type="character" w:styleId="PageNumber">
    <w:name w:val="page number"/>
    <w:basedOn w:val="DefaultParagraphFont"/>
    <w:uiPriority w:val="99"/>
    <w:semiHidden/>
    <w:unhideWhenUsed/>
    <w:rsid w:val="00F2083B"/>
  </w:style>
  <w:style w:type="paragraph" w:styleId="BalloonText">
    <w:name w:val="Balloon Text"/>
    <w:basedOn w:val="Normal"/>
    <w:link w:val="BalloonTextChar"/>
    <w:uiPriority w:val="99"/>
    <w:semiHidden/>
    <w:unhideWhenUsed/>
    <w:rsid w:val="00F20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8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83B"/>
    <w:pPr>
      <w:spacing w:after="0" w:line="240" w:lineRule="auto"/>
    </w:pPr>
  </w:style>
  <w:style w:type="paragraph" w:styleId="Footer">
    <w:name w:val="footer"/>
    <w:basedOn w:val="Normal"/>
    <w:link w:val="FooterChar"/>
    <w:uiPriority w:val="99"/>
    <w:unhideWhenUsed/>
    <w:rsid w:val="00F208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083B"/>
  </w:style>
  <w:style w:type="character" w:styleId="PageNumber">
    <w:name w:val="page number"/>
    <w:basedOn w:val="DefaultParagraphFont"/>
    <w:uiPriority w:val="99"/>
    <w:semiHidden/>
    <w:unhideWhenUsed/>
    <w:rsid w:val="00F2083B"/>
  </w:style>
  <w:style w:type="paragraph" w:styleId="BalloonText">
    <w:name w:val="Balloon Text"/>
    <w:basedOn w:val="Normal"/>
    <w:link w:val="BalloonTextChar"/>
    <w:uiPriority w:val="99"/>
    <w:semiHidden/>
    <w:unhideWhenUsed/>
    <w:rsid w:val="00F208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8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anessa\Documents\2013_Spring\290DM\project\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Frequency</c:v>
          </c:tx>
          <c:invertIfNegative val="0"/>
          <c:cat>
            <c:strRef>
              <c:f>wordctdist!$A$5:$A$25</c:f>
              <c:strCache>
                <c:ptCount val="2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More</c:v>
                </c:pt>
              </c:strCache>
            </c:strRef>
          </c:cat>
          <c:val>
            <c:numRef>
              <c:f>wordctdist!$B$5:$B$25</c:f>
              <c:numCache>
                <c:formatCode>General</c:formatCode>
                <c:ptCount val="21"/>
                <c:pt idx="0">
                  <c:v>332</c:v>
                </c:pt>
                <c:pt idx="1">
                  <c:v>737</c:v>
                </c:pt>
                <c:pt idx="2">
                  <c:v>728</c:v>
                </c:pt>
                <c:pt idx="3">
                  <c:v>752</c:v>
                </c:pt>
                <c:pt idx="4">
                  <c:v>628</c:v>
                </c:pt>
                <c:pt idx="5">
                  <c:v>631</c:v>
                </c:pt>
                <c:pt idx="6">
                  <c:v>625</c:v>
                </c:pt>
                <c:pt idx="7">
                  <c:v>518</c:v>
                </c:pt>
                <c:pt idx="8">
                  <c:v>294</c:v>
                </c:pt>
                <c:pt idx="9">
                  <c:v>167</c:v>
                </c:pt>
                <c:pt idx="10">
                  <c:v>95</c:v>
                </c:pt>
                <c:pt idx="11">
                  <c:v>77</c:v>
                </c:pt>
                <c:pt idx="12">
                  <c:v>62</c:v>
                </c:pt>
                <c:pt idx="13">
                  <c:v>34</c:v>
                </c:pt>
                <c:pt idx="14">
                  <c:v>35</c:v>
                </c:pt>
                <c:pt idx="15">
                  <c:v>24</c:v>
                </c:pt>
                <c:pt idx="16">
                  <c:v>28</c:v>
                </c:pt>
                <c:pt idx="17">
                  <c:v>7</c:v>
                </c:pt>
                <c:pt idx="18">
                  <c:v>3</c:v>
                </c:pt>
                <c:pt idx="19">
                  <c:v>0</c:v>
                </c:pt>
                <c:pt idx="20">
                  <c:v>0</c:v>
                </c:pt>
              </c:numCache>
            </c:numRef>
          </c:val>
        </c:ser>
        <c:dLbls>
          <c:showLegendKey val="0"/>
          <c:showVal val="0"/>
          <c:showCatName val="0"/>
          <c:showSerName val="0"/>
          <c:showPercent val="0"/>
          <c:showBubbleSize val="0"/>
        </c:dLbls>
        <c:gapWidth val="150"/>
        <c:axId val="145431040"/>
        <c:axId val="43160640"/>
      </c:barChart>
      <c:catAx>
        <c:axId val="145431040"/>
        <c:scaling>
          <c:orientation val="minMax"/>
        </c:scaling>
        <c:delete val="0"/>
        <c:axPos val="b"/>
        <c:majorTickMark val="out"/>
        <c:minorTickMark val="none"/>
        <c:tickLblPos val="nextTo"/>
        <c:txPr>
          <a:bodyPr/>
          <a:lstStyle/>
          <a:p>
            <a:pPr>
              <a:defRPr sz="800"/>
            </a:pPr>
            <a:endParaRPr lang="en-US"/>
          </a:p>
        </c:txPr>
        <c:crossAx val="43160640"/>
        <c:crosses val="autoZero"/>
        <c:auto val="1"/>
        <c:lblAlgn val="ctr"/>
        <c:lblOffset val="100"/>
        <c:noMultiLvlLbl val="0"/>
      </c:catAx>
      <c:valAx>
        <c:axId val="43160640"/>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txPr>
          <a:bodyPr/>
          <a:lstStyle/>
          <a:p>
            <a:pPr>
              <a:defRPr sz="800"/>
            </a:pPr>
            <a:endParaRPr lang="en-US"/>
          </a:p>
        </c:txPr>
        <c:crossAx val="145431040"/>
        <c:crosses val="autoZero"/>
        <c:crossBetween val="between"/>
      </c:valAx>
    </c:plotArea>
    <c:plotVisOnly val="1"/>
    <c:dispBlanksAs val="gap"/>
    <c:showDLblsOverMax val="0"/>
  </c:chart>
  <c:txPr>
    <a:bodyPr/>
    <a:lstStyle/>
    <a:p>
      <a:pPr>
        <a:defRPr sz="9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Vanessa</cp:lastModifiedBy>
  <cp:revision>2</cp:revision>
  <dcterms:created xsi:type="dcterms:W3CDTF">2013-05-17T05:18:00Z</dcterms:created>
  <dcterms:modified xsi:type="dcterms:W3CDTF">2013-05-17T05:18:00Z</dcterms:modified>
</cp:coreProperties>
</file>