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todología-materiales-y-métodos"/>
    <w:p>
      <w:pPr>
        <w:pStyle w:val="Heading1"/>
      </w:pPr>
      <w:r>
        <w:t xml:space="preserve">1. METODOLOGÍA (MATERIALES Y MÉTODOS)</w:t>
      </w:r>
    </w:p>
    <w:bookmarkStart w:id="9" w:name="X7783f3c143c760a7f15dbf435215e5ab312226c"/>
    <w:p>
      <w:pPr>
        <w:pStyle w:val="Heading2"/>
      </w:pPr>
      <w:r>
        <w:t xml:space="preserve">1.1. Diseño de la Plataforma y Filosofía de Implementación</w:t>
      </w:r>
    </w:p>
    <w:p>
      <w:pPr>
        <w:pStyle w:val="FirstParagraph"/>
      </w:pPr>
      <w:r>
        <w:t xml:space="preserve">La plataforma bioinformática BioJava fue desarrollada para integrar en un solo entorno las principales herramientas que mejoradores y genetistas utilizan en el análisis de especies poliploides. Su diseño se apoya en el uso de herramientas bioinformáticas modulares, capaces de procesar datos genómicos, manejar formatos especializados y facilitar el desarrollo de flujos de análisis reproducibles, tal como se ha planteado para plataformas como BioJava en el contexto del análisis de datos biológicos (Holland et al., 2008).</w:t>
      </w:r>
    </w:p>
    <w:p>
      <w:pPr>
        <w:pStyle w:val="BodyText"/>
      </w:pPr>
      <w:r>
        <w:t xml:space="preserve">En la práctica, muchos análisis de genómica poblacional, mapeo de asociación y genómica comparativa suelen realizarse con diferentes paquetes de R, scripts en Python y herramientas de terminal, cada una con su propia lógica, sintaxis y requisitos de instalación. Esta fragmentación puede dificultar el trabajo, especialmente cuando se requiere repetir análisis, organizar resultados o estandarizar procedimientos entre diferentes usuarios. Además, el manejo de datos genómicos a gran escala exige formatos estandarizados, como VCF, que permiten almacenar variantes, genotipos y anotaciones de manera estructurada e interoperable entre diferentes programas (Danecek et al., 2011).</w:t>
      </w:r>
    </w:p>
    <w:p>
      <w:pPr>
        <w:pStyle w:val="BodyText"/>
      </w:pPr>
      <w:r>
        <w:t xml:space="preserve">BioJava busca simplificar este proceso mediante una plataforma modular, robusta y fácil de ejecutar. Su diseño permite que investigadores con conocimientos básicos de bioinformática y genética cuantitativa puedan desarrollar flujos de análisis completos sin necesidad de tener experiencia avanzada en programación, manejo de entornos virtuales, compilación de librerías o depuración de código. Esta aproximación resulta especialmente útil en estudios con especies poliploides, donde la interpretación de dosis alélicas, estructura poblacional, parentesco genómico y modelos de asociación requiere herramientas adaptadas a una mayor complejidad genética.</w:t>
      </w:r>
    </w:p>
    <w:p>
      <w:pPr>
        <w:pStyle w:val="BodyText"/>
      </w:pPr>
      <w:r>
        <w:t xml:space="preserve">La herramienta funciona desde la línea de comandos con una sintaxis unificada, compatible con el estándar POSIX. Además, incluye ayuda contextual y mensajes de estado claros, lo que facilita su uso tanto en análisis individuales como en flujos de trabajo automatizados. El software reúne módulos especializados que cubren diferentes etapas del análisis bioinformático, desde el diagnóstico inicial de archivos VCF hasta estudios de asociación genómica, análisis de estructura poblacional, genómica comparativa y anotación funcional.</w:t>
      </w:r>
    </w:p>
    <w:p>
      <w:pPr>
        <w:pStyle w:val="BodyText"/>
      </w:pPr>
      <w:r>
        <w:t xml:space="preserve">Entre sus principales funcionalidades se encuentran el diagnóstico de calidad de variantes, el filtrado de archivos VCF, el análisis de estructura poblacional, la extracción de dosis alélicas, el cálculo de distancia genética, la exploración visual de SNPs, el análisis de desequilibrio de ligamiento, la fusión de archivos VCF y la exportación a formatos compatibles con herramientas como GWASpoly y JoinMap. En particular, GWASpoly ha sido diseñado para estudios de asociación genómica en autopoliploides, permitiendo evaluar modelos genéticos aditivos y no aditivos basados en dosis alélica (Rosyara et al., 2016).</w:t>
      </w:r>
    </w:p>
    <w:p>
      <w:pPr>
        <w:pStyle w:val="BodyText"/>
      </w:pPr>
      <w:r>
        <w:t xml:space="preserve">La plataforma también integra módulos para genómica comparativa, reconstrucción filogenética, anotación genómica y estudios de asociación genómica amplia, GWAS. En estos análisis se incorporan enfoques ampliamente utilizados, como el cálculo de matrices de parentesco genómico, útil para representar relaciones genéticas entre individuos (VanRaden, 2008), los modelos mixtos para controlar estructura poblacional en estudios de asociación (Kang et al., 2010), el método Neighbor-Joining para reconstrucción filogenética a partir de distancias genéticas (Saitou &amp; Nei, 1987).</w:t>
      </w:r>
    </w:p>
    <w:p>
      <w:r>
        <w:pict>
          <v:rect style="width:0;height:1.5pt" o:hralign="center" o:hrstd="t" o:hr="t"/>
        </w:pict>
      </w:r>
    </w:p>
    <w:bookmarkEnd w:id="9"/>
    <w:bookmarkStart w:id="23" w:name="metodología-de-los-módulos-de-análisis"/>
    <w:p>
      <w:pPr>
        <w:pStyle w:val="Heading2"/>
      </w:pPr>
      <w:r>
        <w:t xml:space="preserve">1.2. Metodología de los Módulos de Análisis</w:t>
      </w:r>
    </w:p>
    <w:bookmarkStart w:id="10" w:name="diagnóstico-de-variantes-vcf-stats"/>
    <w:p>
      <w:pPr>
        <w:pStyle w:val="Heading3"/>
      </w:pPr>
      <w:r>
        <w:t xml:space="preserve">1.2.1. Diagnóstico de Variantes (</w:t>
      </w:r>
      <w:r>
        <w:rPr>
          <w:rStyle w:val="VerbatimChar"/>
        </w:rPr>
        <w:t xml:space="preserve">vcf-stats</w:t>
      </w:r>
      <w:r>
        <w:t xml:space="preserve">)</w:t>
      </w:r>
    </w:p>
    <w:p>
      <w:pPr>
        <w:pStyle w:val="FirstParagraph"/>
      </w:pPr>
      <w:r>
        <w:t xml:space="preserve">Este módulo realiza un perfilamiento estadístico descriptivo no destructivo del archivo VCF crudo para diagnosticar el estado inicial del genotipado en poblaciones poliploides de alta complejidad. Mediante un motor de transmisión de datos (</w:t>
      </w:r>
      <w:r>
        <w:rPr>
          <w:i/>
          <w:iCs/>
        </w:rPr>
        <w:t xml:space="preserve">streaming engine</w:t>
      </w:r>
      <w:r>
        <w:t xml:space="preserve">) que lee y procesa el archivo línea por línea para evitar colapsar la memoria RAM del computador, el algoritmo extrae en tiempo real las profundidades de lectura global (</w:t>
      </w:r>
      <w:r>
        <w:rPr>
          <w:rStyle w:val="VerbatimChar"/>
        </w:rPr>
        <w:t xml:space="preserve">DP</w:t>
      </w:r>
      <w:r>
        <w:t xml:space="preserve">) y alélica (</w:t>
      </w:r>
      <w:r>
        <w:rPr>
          <w:rStyle w:val="VerbatimChar"/>
        </w:rPr>
        <w:t xml:space="preserve">AD</w:t>
      </w:r>
      <w:r>
        <w:t xml:space="preserve">) por individuo, calculando simultáneamente la tasa de datos faltantes (</w:t>
      </w:r>
      <w:r>
        <w:rPr>
          <w:i/>
          <w:iCs/>
        </w:rPr>
        <w:t xml:space="preserve">missing rate</w:t>
      </w:r>
      <w:r>
        <w:t xml:space="preserve">), la Frecuencia del Alelo Menor (MAF) y la relación estricta de transiciones y transversiones (Ts/Tv ratio). Para su ejecución, el módulo integra parámetros fundamentales en la línea de comandos que configuran de forma precisa el análisis: el archivo de variantes genómicas de entrada (</w:t>
      </w:r>
      <w:r>
        <w:rPr>
          <w:rStyle w:val="VerbatimChar"/>
        </w:rPr>
        <w:t xml:space="preserve">-v</w:t>
      </w:r>
      <w:r>
        <w:t xml:space="preserve"> </w:t>
      </w:r>
      <w:r>
        <w:t xml:space="preserve">o</w:t>
      </w:r>
      <w:r>
        <w:t xml:space="preserve"> </w:t>
      </w:r>
      <w:r>
        <w:rPr>
          <w:rStyle w:val="VerbatimChar"/>
        </w:rPr>
        <w:t xml:space="preserve">--vcf</w:t>
      </w:r>
      <w:r>
        <w:t xml:space="preserve">), la ruta o nombre del reporte HTML interactivo autogenerado (</w:t>
      </w:r>
      <w:r>
        <w:rPr>
          <w:rStyle w:val="VerbatimChar"/>
        </w:rPr>
        <w:t xml:space="preserve">-o</w:t>
      </w:r>
      <w:r>
        <w:t xml:space="preserve"> </w:t>
      </w:r>
      <w:r>
        <w:t xml:space="preserve">o</w:t>
      </w:r>
      <w:r>
        <w:t xml:space="preserve"> </w:t>
      </w:r>
      <w:r>
        <w:rPr>
          <w:rStyle w:val="VerbatimChar"/>
        </w:rPr>
        <w:t xml:space="preserve">--output</w:t>
      </w:r>
      <w:r>
        <w:t xml:space="preserve">), la ploidía biológica de la especie en estudio (</w:t>
      </w:r>
      <w:r>
        <w:rPr>
          <w:rStyle w:val="VerbatimChar"/>
        </w:rPr>
        <w:t xml:space="preserve">-p</w:t>
      </w:r>
      <w:r>
        <w:t xml:space="preserve"> </w:t>
      </w:r>
      <w:r>
        <w:t xml:space="preserve">o</w:t>
      </w:r>
      <w:r>
        <w:t xml:space="preserve"> </w:t>
      </w:r>
      <w:r>
        <w:rPr>
          <w:rStyle w:val="VerbatimChar"/>
        </w:rPr>
        <w:t xml:space="preserve">--ploidy</w:t>
      </w:r>
      <w:r>
        <w:t xml:space="preserve">, ej.</w:t>
      </w:r>
      <w:r>
        <w:t xml:space="preserve"> </w:t>
      </w:r>
      <w:r>
        <w:rPr>
          <w:rStyle w:val="VerbatimChar"/>
        </w:rPr>
        <w:t xml:space="preserve">10</w:t>
      </w:r>
      <w:r>
        <w:t xml:space="preserve"> </w:t>
      </w:r>
      <w:r>
        <w:t xml:space="preserve">para caña de azúcar o</w:t>
      </w:r>
      <w:r>
        <w:t xml:space="preserve"> </w:t>
      </w:r>
      <w:r>
        <w:rPr>
          <w:rStyle w:val="VerbatimChar"/>
        </w:rPr>
        <w:t xml:space="preserve">4</w:t>
      </w:r>
      <w:r>
        <w:t xml:space="preserve"> </w:t>
      </w:r>
      <w:r>
        <w:t xml:space="preserve">para papa) para calibrar las proporciones alélicas esperadas, y de manera opcional los hilos de CPU asignados (</w:t>
      </w:r>
      <w:r>
        <w:rPr>
          <w:rStyle w:val="VerbatimChar"/>
        </w:rPr>
        <w:t xml:space="preserve">-t</w:t>
      </w:r>
      <w:r>
        <w:t xml:space="preserve"> </w:t>
      </w:r>
      <w:r>
        <w:t xml:space="preserve">o</w:t>
      </w:r>
      <w:r>
        <w:t xml:space="preserve"> </w:t>
      </w:r>
      <w:r>
        <w:rPr>
          <w:rStyle w:val="VerbatimChar"/>
        </w:rPr>
        <w:t xml:space="preserve">--threads</w:t>
      </w:r>
      <w:r>
        <w:t xml:space="preserve">) para acelerar el cálculo paralelo en conjuntos de datos masivos; consolidando la distribución de estas variables estadísticas en un cuadro de mando HTML interactivo que sirve de línea base diagnóstica para guiar de forma objetiva las decisiones de depuración genómica.</w:t>
      </w:r>
    </w:p>
    <w:p>
      <w:pPr>
        <w:pStyle w:val="BodyText"/>
      </w:pPr>
      <w:r>
        <w:rPr>
          <w:b/>
          <w:bCs/>
        </w:rPr>
        <w:t xml:space="preserve">Ejemplo de Ejecución:</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vcf-stats </w:t>
      </w:r>
      <w:r>
        <w:rPr>
          <w:rStyle w:val="DataTypeTok"/>
        </w:rPr>
        <w:t xml:space="preserve">\</w:t>
      </w:r>
      <w:r>
        <w:br/>
      </w:r>
      <w:r>
        <w:rPr>
          <w:rStyle w:val="NormalTok"/>
        </w:rPr>
        <w:t xml:space="preserve">  </w:t>
      </w:r>
      <w:r>
        <w:rPr>
          <w:rStyle w:val="AttributeTok"/>
        </w:rPr>
        <w:t xml:space="preserve">-v</w:t>
      </w:r>
      <w:r>
        <w:rPr>
          <w:rStyle w:val="NormalTok"/>
        </w:rPr>
        <w:t xml:space="preserve"> panel_crudo.vcf </w:t>
      </w:r>
      <w:r>
        <w:rPr>
          <w:rStyle w:val="DataTypeTok"/>
        </w:rPr>
        <w:t xml:space="preserve">\</w:t>
      </w:r>
      <w:r>
        <w:br/>
      </w:r>
      <w:r>
        <w:rPr>
          <w:rStyle w:val="NormalTok"/>
        </w:rPr>
        <w:t xml:space="preserve">  </w:t>
      </w:r>
      <w:r>
        <w:rPr>
          <w:rStyle w:val="AttributeTok"/>
        </w:rPr>
        <w:t xml:space="preserve">-p</w:t>
      </w:r>
      <w:r>
        <w:rPr>
          <w:rStyle w:val="NormalTok"/>
        </w:rPr>
        <w:t xml:space="preserve"> 10 </w:t>
      </w:r>
      <w:r>
        <w:rPr>
          <w:rStyle w:val="DataTypeTok"/>
        </w:rPr>
        <w:t xml:space="preserve">\</w:t>
      </w:r>
      <w:r>
        <w:br/>
      </w:r>
      <w:r>
        <w:rPr>
          <w:rStyle w:val="NormalTok"/>
        </w:rPr>
        <w:t xml:space="preserve">  </w:t>
      </w:r>
      <w:r>
        <w:rPr>
          <w:rStyle w:val="AttributeTok"/>
        </w:rPr>
        <w:t xml:space="preserve">-o</w:t>
      </w:r>
      <w:r>
        <w:rPr>
          <w:rStyle w:val="NormalTok"/>
        </w:rPr>
        <w:t xml:space="preserve"> reporte_stats.html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0"/>
    <w:bookmarkStart w:id="11" w:name="control-de-calidad-y-filtrado-vcf-filter"/>
    <w:p>
      <w:pPr>
        <w:pStyle w:val="Heading3"/>
      </w:pPr>
      <w:r>
        <w:t xml:space="preserve">1.2.2. Control de Calidad y Filtrado (</w:t>
      </w:r>
      <w:r>
        <w:rPr>
          <w:rStyle w:val="VerbatimChar"/>
        </w:rPr>
        <w:t xml:space="preserve">vcf-filter</w:t>
      </w:r>
      <w:r>
        <w:t xml:space="preserve">)</w:t>
      </w:r>
    </w:p>
    <w:p>
      <w:pPr>
        <w:pStyle w:val="FirstParagraph"/>
      </w:pPr>
      <w:r>
        <w:t xml:space="preserve">Diseñado específicamente para mitigar el sesgo técnico y la incertidumbre de secuenciación en genomas poliploides, este módulo realiza una depuración rigurosa de variantes aplicando un modelo probabilístico de máxima verosimilitud continua en lugar de llamados de genotipos rígidos o discretos. Para ello, el algoritmo construye de manera explícita un</w:t>
      </w:r>
      <w:r>
        <w:t xml:space="preserve"> </w:t>
      </w:r>
      <w:r>
        <w:rPr>
          <w:b/>
          <w:bCs/>
        </w:rPr>
        <w:t xml:space="preserve">vector de estados de dosis</w:t>
      </w:r>
      <w:r>
        <w:t xml:space="preserve"> </w:t>
      </w:r>
      <m:oMath>
        <m:r>
          <m:rPr>
            <m:sty m:val="b"/>
          </m:rPr>
          <m:t>d</m:t>
        </m:r>
        <m:r>
          <m:rPr>
            <m:sty m:val="p"/>
          </m:rPr>
          <m:t>=</m:t>
        </m:r>
        <m:r>
          <m:rPr>
            <m:sty m:val="p"/>
          </m:rPr>
          <m:t>[</m:t>
        </m:r>
        <m:r>
          <m:t>0</m:t>
        </m:r>
        <m:r>
          <m:rPr>
            <m:sty m:val="p"/>
          </m:rPr>
          <m:t>,</m:t>
        </m:r>
        <m:r>
          <m:t>1</m:t>
        </m:r>
        <m:r>
          <m:rPr>
            <m:sty m:val="p"/>
          </m:rPr>
          <m:t>,</m:t>
        </m:r>
        <m:r>
          <m:t>2</m:t>
        </m:r>
        <m:r>
          <m:rPr>
            <m:sty m:val="p"/>
          </m:rPr>
          <m:t>,</m:t>
        </m:r>
        <m:r>
          <m:rPr>
            <m:sty m:val="p"/>
          </m:rPr>
          <m:t>…</m:t>
        </m:r>
        <m:r>
          <m:rPr>
            <m:sty m:val="p"/>
          </m:rPr>
          <m:t>,</m:t>
        </m:r>
        <m:r>
          <m:t>M</m:t>
        </m:r>
        <m:r>
          <m:rPr>
            <m:sty m:val="p"/>
          </m:rPr>
          <m:t>]</m:t>
        </m:r>
      </m:oMath>
      <w:r>
        <w:t xml:space="preserve"> </w:t>
      </w:r>
      <w:r>
        <w:t xml:space="preserve">(donde</w:t>
      </w:r>
      <w:r>
        <w:t xml:space="preserve"> </w:t>
      </w:r>
      <m:oMath>
        <m:r>
          <m:t>M</m:t>
        </m:r>
      </m:oMath>
      <w:r>
        <w:t xml:space="preserve"> </w:t>
      </w:r>
      <w:r>
        <w:t xml:space="preserve">representa el nivel de ploidía biológica de la especie) que abarca todas las configuraciones génicas posibles. A partir de las lecturas observadas del campo de profundidad alélica (</w:t>
      </w:r>
      <w:r>
        <w:rPr>
          <w:rStyle w:val="VerbatimChar"/>
        </w:rPr>
        <w:t xml:space="preserve">AD</w:t>
      </w:r>
      <w:r>
        <w:t xml:space="preserve">) en cada muestra, el algoritmo calcula la verosimilitud matemática de cada estado del vector de dosis, estimando una dosis esperada continua (con valores decimales) mediante la ponderación estocástica de este vector con sus respectivas probabilidades de verosimilitud observadas:</w:t>
      </w:r>
    </w:p>
    <w:p>
      <w:pPr>
        <w:pStyle w:val="BodyText"/>
      </w:pPr>
      <m:oMathPara>
        <m:oMathParaPr>
          <m:jc m:val="center"/>
        </m:oMathParaPr>
        <m:oMath>
          <m:r>
            <m:rPr>
              <m:nor/>
              <m:sty m:val="p"/>
            </m:rPr>
            <m:t>Dosis Esperada</m:t>
          </m:r>
          <m:r>
            <m:rPr>
              <m:sty m:val="p"/>
            </m:rPr>
            <m:t>=</m:t>
          </m:r>
          <m:nary>
            <m:naryPr>
              <m:chr m:val="∑"/>
              <m:limLoc m:val="undOvr"/>
              <m:subHide m:val="off"/>
              <m:supHide m:val="off"/>
            </m:naryPr>
            <m:sub>
              <m:r>
                <m:t>k</m:t>
              </m:r>
              <m:r>
                <m:rPr>
                  <m:sty m:val="p"/>
                </m:rPr>
                <m:t>=</m:t>
              </m:r>
              <m:r>
                <m:t>0</m:t>
              </m:r>
            </m:sub>
            <m:sup>
              <m:r>
                <m:rPr>
                  <m:nor/>
                  <m:sty m:val="p"/>
                </m:rPr>
                <m:t>ploidía</m:t>
              </m:r>
            </m:sup>
            <m:e>
              <m:r>
                <m:t>k</m:t>
              </m:r>
            </m:e>
          </m:nary>
          <m:r>
            <m:rPr>
              <m:sty m:val="p"/>
            </m:rPr>
            <m:t>⋅</m:t>
          </m:r>
          <m:r>
            <m:t>P</m:t>
          </m:r>
          <m:r>
            <m:rPr>
              <m:sty m:val="p"/>
            </m:rPr>
            <m:t>(</m:t>
          </m:r>
          <m:r>
            <m:t>k</m:t>
          </m:r>
          <m:r>
            <m:rPr>
              <m:sty m:val="p"/>
            </m:rPr>
            <m:t>∣</m:t>
          </m:r>
          <m:r>
            <m:rPr>
              <m:nor/>
              <m:sty m:val="p"/>
            </m:rPr>
            <m:t>Datos</m:t>
          </m:r>
          <m:r>
            <m:rPr>
              <m:sty m:val="p"/>
            </m:rPr>
            <m:t>)</m:t>
          </m:r>
        </m:oMath>
      </m:oMathPara>
    </w:p>
    <w:p>
      <w:pPr>
        <w:pStyle w:val="FirstParagraph"/>
      </w:pPr>
      <w:r>
        <w:t xml:space="preserve">Este sofisticado enfoque bioinformático conserva la incertidumbre de la profundidad de lectura y aplica filtros estrictos basados en umbrales de MAF (</w:t>
      </w:r>
      <w:r>
        <w:rPr>
          <w:rStyle w:val="VerbatimChar"/>
        </w:rPr>
        <w:t xml:space="preserve">--min-maf</w:t>
      </w:r>
      <w:r>
        <w:t xml:space="preserve">), datos faltantes (</w:t>
      </w:r>
      <w:r>
        <w:rPr>
          <w:rStyle w:val="VerbatimChar"/>
        </w:rPr>
        <w:t xml:space="preserve">--max-missing</w:t>
      </w:r>
      <w:r>
        <w:t xml:space="preserve">), cobertura mínima (</w:t>
      </w:r>
      <w:r>
        <w:rPr>
          <w:rStyle w:val="VerbatimChar"/>
        </w:rPr>
        <w:t xml:space="preserve">--min-dp</w:t>
      </w:r>
      <w:r>
        <w:t xml:space="preserve">) y un método de selección de características (</w:t>
      </w:r>
      <w:r>
        <w:rPr>
          <w:i/>
          <w:iCs/>
        </w:rPr>
        <w:t xml:space="preserve">feature selection</w:t>
      </w:r>
      <w:r>
        <w:t xml:space="preserve">) que clasifica y retiene las variantes de mayor heterocigosidad (</w:t>
      </w:r>
      <w:r>
        <w:rPr>
          <w:rStyle w:val="VerbatimChar"/>
        </w:rPr>
        <w:t xml:space="preserve">--top-n</w:t>
      </w:r>
      <w:r>
        <w:t xml:space="preserve">).</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vcf-filter </w:t>
      </w:r>
      <w:r>
        <w:rPr>
          <w:rStyle w:val="DataTypeTok"/>
        </w:rPr>
        <w:t xml:space="preserve">\</w:t>
      </w:r>
      <w:r>
        <w:br/>
      </w:r>
      <w:r>
        <w:rPr>
          <w:rStyle w:val="NormalTok"/>
        </w:rPr>
        <w:t xml:space="preserve">  </w:t>
      </w:r>
      <w:r>
        <w:rPr>
          <w:rStyle w:val="AttributeTok"/>
        </w:rPr>
        <w:t xml:space="preserve">-v</w:t>
      </w:r>
      <w:r>
        <w:rPr>
          <w:rStyle w:val="NormalTok"/>
        </w:rPr>
        <w:t xml:space="preserve"> panel_crudo.vcf </w:t>
      </w:r>
      <w:r>
        <w:rPr>
          <w:rStyle w:val="DataTypeTok"/>
        </w:rPr>
        <w:t xml:space="preserve">\</w:t>
      </w:r>
      <w:r>
        <w:br/>
      </w:r>
      <w:r>
        <w:rPr>
          <w:rStyle w:val="NormalTok"/>
        </w:rPr>
        <w:t xml:space="preserve">  </w:t>
      </w:r>
      <w:r>
        <w:rPr>
          <w:rStyle w:val="AttributeTok"/>
        </w:rPr>
        <w:t xml:space="preserve">-o</w:t>
      </w:r>
      <w:r>
        <w:rPr>
          <w:rStyle w:val="NormalTok"/>
        </w:rPr>
        <w:t xml:space="preserve"> panel_filtrado.vcf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DataTypeTok"/>
        </w:rPr>
        <w:t xml:space="preserve">\</w:t>
      </w:r>
      <w:r>
        <w:br/>
      </w:r>
      <w:r>
        <w:rPr>
          <w:rStyle w:val="NormalTok"/>
        </w:rPr>
        <w:t xml:space="preserve">  </w:t>
      </w:r>
      <w:r>
        <w:rPr>
          <w:rStyle w:val="AttributeTok"/>
        </w:rPr>
        <w:t xml:space="preserve">--min-maf</w:t>
      </w:r>
      <w:r>
        <w:rPr>
          <w:rStyle w:val="NormalTok"/>
        </w:rPr>
        <w:t xml:space="preserve"> 0.05 </w:t>
      </w:r>
      <w:r>
        <w:rPr>
          <w:rStyle w:val="DataTypeTok"/>
        </w:rPr>
        <w:t xml:space="preserve">\</w:t>
      </w:r>
      <w:r>
        <w:br/>
      </w:r>
      <w:r>
        <w:rPr>
          <w:rStyle w:val="NormalTok"/>
        </w:rPr>
        <w:t xml:space="preserve">  </w:t>
      </w:r>
      <w:r>
        <w:rPr>
          <w:rStyle w:val="AttributeTok"/>
        </w:rPr>
        <w:t xml:space="preserve">--max-missing</w:t>
      </w:r>
      <w:r>
        <w:rPr>
          <w:rStyle w:val="NormalTok"/>
        </w:rPr>
        <w:t xml:space="preserve"> 0.20 </w:t>
      </w:r>
      <w:r>
        <w:rPr>
          <w:rStyle w:val="DataTypeTok"/>
        </w:rPr>
        <w:t xml:space="preserve">\</w:t>
      </w:r>
      <w:r>
        <w:br/>
      </w:r>
      <w:r>
        <w:rPr>
          <w:rStyle w:val="NormalTok"/>
        </w:rPr>
        <w:t xml:space="preserve">  </w:t>
      </w:r>
      <w:r>
        <w:rPr>
          <w:rStyle w:val="AttributeTok"/>
        </w:rPr>
        <w:t xml:space="preserve">--min-dp</w:t>
      </w:r>
      <w:r>
        <w:rPr>
          <w:rStyle w:val="NormalTok"/>
        </w:rPr>
        <w:t xml:space="preserve"> 20 </w:t>
      </w:r>
      <w:r>
        <w:rPr>
          <w:rStyle w:val="DataTypeTok"/>
        </w:rPr>
        <w:t xml:space="preserve">\</w:t>
      </w:r>
      <w:r>
        <w:br/>
      </w:r>
      <w:r>
        <w:rPr>
          <w:rStyle w:val="NormalTok"/>
        </w:rPr>
        <w:t xml:space="preserve">  </w:t>
      </w:r>
      <w:r>
        <w:rPr>
          <w:rStyle w:val="AttributeTok"/>
        </w:rPr>
        <w:t xml:space="preserve">--top-n</w:t>
      </w:r>
      <w:r>
        <w:rPr>
          <w:rStyle w:val="NormalTok"/>
        </w:rPr>
        <w:t xml:space="preserve"> 50000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1"/>
    <w:bookmarkStart w:id="12" w:name="estructura-de-poblaciones-pop-structure"/>
    <w:p>
      <w:pPr>
        <w:pStyle w:val="Heading3"/>
      </w:pPr>
      <w:r>
        <w:t xml:space="preserve">1.2.3. Estructura de Poblaciones (</w:t>
      </w:r>
      <w:r>
        <w:rPr>
          <w:rStyle w:val="VerbatimChar"/>
        </w:rPr>
        <w:t xml:space="preserve">pop-structure</w:t>
      </w:r>
      <w:r>
        <w:t xml:space="preserve">)</w:t>
      </w:r>
    </w:p>
    <w:p>
      <w:pPr>
        <w:pStyle w:val="FirstParagraph"/>
      </w:pPr>
      <w:r>
        <w:t xml:space="preserve">Este módulo determina la estratificación poblacional y el parentesco genómico en organismos poliploides complejos mediante un flujo integrado de reducción de dimensionalidad, parentesco y algoritmos de agrupamiento no supervisados. A nivel operativo, el comando integra parámetros críticos en la línea de comandos: el archivo VCF de entrada (</w:t>
      </w:r>
      <w:r>
        <w:rPr>
          <w:rStyle w:val="VerbatimChar"/>
        </w:rPr>
        <w:t xml:space="preserve">-v</w:t>
      </w:r>
      <w:r>
        <w:t xml:space="preserve"> </w:t>
      </w:r>
      <w:r>
        <w:t xml:space="preserve">o</w:t>
      </w:r>
      <w:r>
        <w:t xml:space="preserve"> </w:t>
      </w:r>
      <w:r>
        <w:rPr>
          <w:rStyle w:val="VerbatimChar"/>
        </w:rPr>
        <w:t xml:space="preserve">--vcf</w:t>
      </w:r>
      <w:r>
        <w:t xml:space="preserve">), el directorio de salida (</w:t>
      </w:r>
      <w:r>
        <w:rPr>
          <w:rStyle w:val="VerbatimChar"/>
        </w:rPr>
        <w:t xml:space="preserve">-o</w:t>
      </w:r>
      <w:r>
        <w:t xml:space="preserve"> </w:t>
      </w:r>
      <w:r>
        <w:t xml:space="preserve">o</w:t>
      </w:r>
      <w:r>
        <w:t xml:space="preserve"> </w:t>
      </w:r>
      <w:r>
        <w:rPr>
          <w:rStyle w:val="VerbatimChar"/>
        </w:rPr>
        <w:t xml:space="preserve">--output</w:t>
      </w:r>
      <w:r>
        <w:t xml:space="preserve">), la ploidía genómica (</w:t>
      </w:r>
      <w:r>
        <w:rPr>
          <w:rStyle w:val="VerbatimChar"/>
        </w:rPr>
        <w:t xml:space="preserve">--ploidy</w:t>
      </w:r>
      <w:r>
        <w:t xml:space="preserve">), las banderas para activar el Análisis de Componentes Principales (</w:t>
      </w:r>
      <w:r>
        <w:rPr>
          <w:rStyle w:val="VerbatimChar"/>
        </w:rPr>
        <w:t xml:space="preserve">--pca</w:t>
      </w:r>
      <w:r>
        <w:t xml:space="preserve">), el número de componentes principales a extraer (</w:t>
      </w:r>
      <w:r>
        <w:rPr>
          <w:rStyle w:val="VerbatimChar"/>
        </w:rPr>
        <w:t xml:space="preserve">--n-pca</w:t>
      </w:r>
      <w:r>
        <w:t xml:space="preserve">), la bandera para calcular la matriz de parentesco genómico (</w:t>
      </w:r>
      <w:r>
        <w:rPr>
          <w:i/>
          <w:iCs/>
        </w:rPr>
        <w:t xml:space="preserve">Kinship</w:t>
      </w:r>
      <w:r>
        <w:t xml:space="preserve">) de VanRaden (</w:t>
      </w:r>
      <w:r>
        <w:rPr>
          <w:rStyle w:val="VerbatimChar"/>
        </w:rPr>
        <w:t xml:space="preserve">--kinship</w:t>
      </w:r>
      <w:r>
        <w:t xml:space="preserve">), la bandera para estimar las proporciones de ancestría poblacional (</w:t>
      </w:r>
      <w:r>
        <w:rPr>
          <w:rStyle w:val="VerbatimChar"/>
        </w:rPr>
        <w:t xml:space="preserve">--admixture</w:t>
      </w:r>
      <w:r>
        <w:t xml:space="preserve">), el número óptimo de subpoblaciones ancestrales a modelar (</w:t>
      </w:r>
      <w:r>
        <w:rPr>
          <w:rStyle w:val="VerbatimChar"/>
        </w:rPr>
        <w:t xml:space="preserve">-k</w:t>
      </w:r>
      <w:r>
        <w:t xml:space="preserve">), los parámetros de control de DBSCAN correspondientes al radio de vecindad (</w:t>
      </w:r>
      <w:r>
        <w:rPr>
          <w:rStyle w:val="VerbatimChar"/>
        </w:rPr>
        <w:t xml:space="preserve">--dbscan-eps</w:t>
      </w:r>
      <w:r>
        <w:t xml:space="preserve">) y el número mínimo de puntos requeridos para formar un núcleo denso (</w:t>
      </w:r>
      <w:r>
        <w:rPr>
          <w:rStyle w:val="VerbatimChar"/>
        </w:rPr>
        <w:t xml:space="preserve">--dbscan-minpts</w:t>
      </w:r>
      <w:r>
        <w:t xml:space="preserve">), y los hilos de multiprocesamiento (</w:t>
      </w:r>
      <w:r>
        <w:rPr>
          <w:rStyle w:val="VerbatimChar"/>
        </w:rPr>
        <w:t xml:space="preserve">-t</w:t>
      </w:r>
      <w:r>
        <w:t xml:space="preserve"> </w:t>
      </w:r>
      <w:r>
        <w:t xml:space="preserve">o</w:t>
      </w:r>
      <w:r>
        <w:t xml:space="preserve"> </w:t>
      </w:r>
      <w:r>
        <w:rPr>
          <w:rStyle w:val="VerbatimChar"/>
        </w:rPr>
        <w:t xml:space="preserve">--threads</w:t>
      </w:r>
      <w:r>
        <w:t xml:space="preserve">) para paralelizar las pesadas multiplicaciones matriciales de álgebra lineal. La matriz de parentesco de VanRaden se calcula sobre las dosis continuas mediante el centrado por medias y escalado por la varianza esperada:</w:t>
      </w:r>
    </w:p>
    <w:p>
      <w:pPr>
        <w:pStyle w:val="BodyText"/>
      </w:pPr>
      <m:oMathPara>
        <m:oMathParaPr>
          <m:jc m:val="center"/>
        </m:oMathParaPr>
        <m:oMath>
          <m:r>
            <m:rPr>
              <m:nor/>
              <m:sty m:val="p"/>
            </m:rPr>
            <m:t>Kinship</m:t>
          </m:r>
          <m:r>
            <m:rPr>
              <m:sty m:val="p"/>
            </m:rPr>
            <m:t>=</m:t>
          </m:r>
          <m:f>
            <m:fPr>
              <m:type m:val="bar"/>
            </m:fPr>
            <m:num>
              <m:r>
                <m:rPr>
                  <m:sty m:val="p"/>
                </m:rPr>
                <m:t>(</m:t>
              </m:r>
              <m:r>
                <m:t>X</m:t>
              </m:r>
              <m:r>
                <m:rPr>
                  <m:sty m:val="p"/>
                </m:rPr>
                <m:t>−</m:t>
              </m:r>
              <m:r>
                <m:t>P</m:t>
              </m:r>
              <m:r>
                <m:rPr>
                  <m:sty m:val="p"/>
                </m:rPr>
                <m:t>)</m:t>
              </m:r>
              <m:r>
                <m:rPr>
                  <m:sty m:val="p"/>
                </m:rPr>
                <m:t>(</m:t>
              </m:r>
              <m:r>
                <m:t>X</m:t>
              </m:r>
              <m:r>
                <m:rPr>
                  <m:sty m:val="p"/>
                </m:rPr>
                <m:t>−</m:t>
              </m:r>
              <m:r>
                <m:t>P</m:t>
              </m:r>
              <m:sSup>
                <m:e>
                  <m:r>
                    <m:rPr>
                      <m:sty m:val="p"/>
                    </m:rPr>
                    <m:t>)</m:t>
                  </m:r>
                </m:e>
                <m:sup>
                  <m:r>
                    <m:rPr>
                      <m:sty m:val="p"/>
                    </m:rPr>
                    <m:t>′</m:t>
                  </m:r>
                </m:sup>
              </m:sSup>
            </m:num>
            <m:den>
              <m:r>
                <m:t>c</m:t>
              </m:r>
            </m:den>
          </m:f>
        </m:oMath>
      </m:oMathPara>
    </w:p>
    <w:p>
      <w:pPr>
        <w:pStyle w:val="FirstParagraph"/>
      </w:pPr>
      <w:r>
        <w:t xml:space="preserve">Finalmente, el sistema inyecta estas coordenadas en tres algoritmos complementarios de agrupamiento no supervisado:</w:t>
      </w:r>
      <w:r>
        <w:t xml:space="preserve"> </w:t>
      </w:r>
      <w:r>
        <w:rPr>
          <w:i/>
          <w:iCs/>
        </w:rPr>
        <w:t xml:space="preserve">K-Means</w:t>
      </w:r>
      <w:r>
        <w:t xml:space="preserve"> </w:t>
      </w:r>
      <w:r>
        <w:t xml:space="preserve">(centroides geométricos),</w:t>
      </w:r>
      <w:r>
        <w:t xml:space="preserve"> </w:t>
      </w:r>
      <w:r>
        <w:rPr>
          <w:i/>
          <w:iCs/>
        </w:rPr>
        <w:t xml:space="preserve">DBSCAN</w:t>
      </w:r>
      <w:r>
        <w:t xml:space="preserve"> </w:t>
      </w:r>
      <w:r>
        <w:t xml:space="preserve">(densidad espacial y remoción de ruido/híbridos anómalos) y Modelos de Mezcla Gaussiana (GMM, para estimar probabilities de hibridación gradual), visualizándolos en paneles interactivos 3D.</w:t>
      </w:r>
    </w:p>
    <w:p>
      <w:pPr>
        <w:pStyle w:val="BodyText"/>
      </w:pPr>
      <w:r>
        <w:rPr>
          <w:b/>
          <w:bCs/>
        </w:rPr>
        <w:t xml:space="preserve">Ejemplo de Ejecución:</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pop-structure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-o</w:t>
      </w:r>
      <w:r>
        <w:rPr>
          <w:rStyle w:val="NormalTok"/>
        </w:rPr>
        <w:t xml:space="preserve"> resultados_pop/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DataTypeTok"/>
        </w:rPr>
        <w:t xml:space="preserve">\</w:t>
      </w:r>
      <w:r>
        <w:br/>
      </w:r>
      <w:r>
        <w:rPr>
          <w:rStyle w:val="NormalTok"/>
        </w:rPr>
        <w:t xml:space="preserve">  </w:t>
      </w:r>
      <w:r>
        <w:rPr>
          <w:rStyle w:val="AttributeTok"/>
        </w:rPr>
        <w:t xml:space="preserve">--pca</w:t>
      </w:r>
      <w:r>
        <w:rPr>
          <w:rStyle w:val="NormalTok"/>
        </w:rPr>
        <w:t xml:space="preserve"> </w:t>
      </w:r>
      <w:r>
        <w:rPr>
          <w:rStyle w:val="DataTypeTok"/>
        </w:rPr>
        <w:t xml:space="preserve">\</w:t>
      </w:r>
      <w:r>
        <w:br/>
      </w:r>
      <w:r>
        <w:rPr>
          <w:rStyle w:val="NormalTok"/>
        </w:rPr>
        <w:t xml:space="preserve">  </w:t>
      </w:r>
      <w:r>
        <w:rPr>
          <w:rStyle w:val="AttributeTok"/>
        </w:rPr>
        <w:t xml:space="preserve">--n-pca</w:t>
      </w:r>
      <w:r>
        <w:rPr>
          <w:rStyle w:val="NormalTok"/>
        </w:rPr>
        <w:t xml:space="preserve"> 10 </w:t>
      </w:r>
      <w:r>
        <w:rPr>
          <w:rStyle w:val="DataTypeTok"/>
        </w:rPr>
        <w:t xml:space="preserve">\</w:t>
      </w:r>
      <w:r>
        <w:br/>
      </w:r>
      <w:r>
        <w:rPr>
          <w:rStyle w:val="NormalTok"/>
        </w:rPr>
        <w:t xml:space="preserve">  </w:t>
      </w:r>
      <w:r>
        <w:rPr>
          <w:rStyle w:val="AttributeTok"/>
        </w:rPr>
        <w:t xml:space="preserve">--kinship</w:t>
      </w:r>
      <w:r>
        <w:rPr>
          <w:rStyle w:val="NormalTok"/>
        </w:rPr>
        <w:t xml:space="preserve"> </w:t>
      </w:r>
      <w:r>
        <w:rPr>
          <w:rStyle w:val="DataTypeTok"/>
        </w:rPr>
        <w:t xml:space="preserve">\</w:t>
      </w:r>
      <w:r>
        <w:br/>
      </w:r>
      <w:r>
        <w:rPr>
          <w:rStyle w:val="NormalTok"/>
        </w:rPr>
        <w:t xml:space="preserve">  </w:t>
      </w:r>
      <w:r>
        <w:rPr>
          <w:rStyle w:val="AttributeTok"/>
        </w:rPr>
        <w:t xml:space="preserve">--admixture</w:t>
      </w:r>
      <w:r>
        <w:rPr>
          <w:rStyle w:val="NormalTok"/>
        </w:rPr>
        <w:t xml:space="preserve"> </w:t>
      </w:r>
      <w:r>
        <w:rPr>
          <w:rStyle w:val="DataTypeTok"/>
        </w:rPr>
        <w:t xml:space="preserve">\</w:t>
      </w:r>
      <w:r>
        <w:br/>
      </w:r>
      <w:r>
        <w:rPr>
          <w:rStyle w:val="NormalTok"/>
        </w:rPr>
        <w:t xml:space="preserve">  </w:t>
      </w:r>
      <w:r>
        <w:rPr>
          <w:rStyle w:val="AttributeTok"/>
        </w:rPr>
        <w:t xml:space="preserve">-k</w:t>
      </w:r>
      <w:r>
        <w:rPr>
          <w:rStyle w:val="NormalTok"/>
        </w:rPr>
        <w:t xml:space="preserve"> 3 </w:t>
      </w:r>
      <w:r>
        <w:rPr>
          <w:rStyle w:val="DataTypeTok"/>
        </w:rPr>
        <w:t xml:space="preserve">\</w:t>
      </w:r>
      <w:r>
        <w:br/>
      </w:r>
      <w:r>
        <w:rPr>
          <w:rStyle w:val="NormalTok"/>
        </w:rPr>
        <w:t xml:space="preserve">  </w:t>
      </w:r>
      <w:r>
        <w:rPr>
          <w:rStyle w:val="AttributeTok"/>
        </w:rPr>
        <w:t xml:space="preserve">--dbscan-eps</w:t>
      </w:r>
      <w:r>
        <w:rPr>
          <w:rStyle w:val="NormalTok"/>
        </w:rPr>
        <w:t xml:space="preserve"> 0.5 </w:t>
      </w:r>
      <w:r>
        <w:rPr>
          <w:rStyle w:val="DataTypeTok"/>
        </w:rPr>
        <w:t xml:space="preserve">\</w:t>
      </w:r>
      <w:r>
        <w:br/>
      </w:r>
      <w:r>
        <w:rPr>
          <w:rStyle w:val="NormalTok"/>
        </w:rPr>
        <w:t xml:space="preserve">  </w:t>
      </w:r>
      <w:r>
        <w:rPr>
          <w:rStyle w:val="AttributeTok"/>
        </w:rPr>
        <w:t xml:space="preserve">--dbscan-minpts</w:t>
      </w:r>
      <w:r>
        <w:rPr>
          <w:rStyle w:val="NormalTok"/>
        </w:rPr>
        <w:t xml:space="preserve"> 5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2"/>
    <w:bookmarkStart w:id="13" w:name="cálculo-de-dosis-alélicas-allele-dosage"/>
    <w:p>
      <w:pPr>
        <w:pStyle w:val="Heading3"/>
      </w:pPr>
      <w:r>
        <w:t xml:space="preserve">1.2.4. Cálculo de dosis alélicas (</w:t>
      </w:r>
      <w:r>
        <w:rPr>
          <w:rStyle w:val="VerbatimChar"/>
        </w:rPr>
        <w:t xml:space="preserve">allele-dosage</w:t>
      </w:r>
      <w:r>
        <w:t xml:space="preserve">)</w:t>
      </w:r>
    </w:p>
    <w:p>
      <w:pPr>
        <w:pStyle w:val="FirstParagraph"/>
      </w:pPr>
      <w:r>
        <w:t xml:space="preserve">Este módulo convierte archivos de variantes complejas a matrices cuantitativas de dosis alélicas adaptadas a herencia polisómica. Para ello, el software lee secuencialmente el archivo VCF depurado y utiliza el</w:t>
      </w:r>
      <w:r>
        <w:t xml:space="preserve"> </w:t>
      </w:r>
      <w:r>
        <w:rPr>
          <w:b/>
          <w:bCs/>
        </w:rPr>
        <w:t xml:space="preserve">vector de estados de dosis</w:t>
      </w:r>
      <w:r>
        <w:t xml:space="preserve"> </w:t>
      </w:r>
      <w:r>
        <w:t xml:space="preserve">discretas</w:t>
      </w:r>
      <w:r>
        <w:t xml:space="preserve"> </w:t>
      </w:r>
      <m:oMath>
        <m:r>
          <m:rPr>
            <m:sty m:val="b"/>
          </m:rPr>
          <m:t>d</m:t>
        </m:r>
        <m:r>
          <m:rPr>
            <m:sty m:val="p"/>
          </m:rPr>
          <m:t>=</m:t>
        </m:r>
        <m:r>
          <m:rPr>
            <m:sty m:val="p"/>
          </m:rPr>
          <m:t>[</m:t>
        </m:r>
        <m:r>
          <m:t>0</m:t>
        </m:r>
        <m:r>
          <m:rPr>
            <m:sty m:val="p"/>
          </m:rPr>
          <m:t>,</m:t>
        </m:r>
        <m:r>
          <m:t>1</m:t>
        </m:r>
        <m:r>
          <m:rPr>
            <m:sty m:val="p"/>
          </m:rPr>
          <m:t>,</m:t>
        </m:r>
        <m:r>
          <m:t>2</m:t>
        </m:r>
        <m:r>
          <m:rPr>
            <m:sty m:val="p"/>
          </m:rPr>
          <m:t>,</m:t>
        </m:r>
        <m:r>
          <m:rPr>
            <m:sty m:val="p"/>
          </m:rPr>
          <m:t>…</m:t>
        </m:r>
        <m:r>
          <m:rPr>
            <m:sty m:val="p"/>
          </m:rPr>
          <m:t>,</m:t>
        </m:r>
        <m:r>
          <m:rPr>
            <m:nor/>
            <m:sty m:val="p"/>
          </m:rPr>
          <m:t>ploidía</m:t>
        </m:r>
        <m:r>
          <m:rPr>
            <m:sty m:val="p"/>
          </m:rPr>
          <m:t>]</m:t>
        </m:r>
      </m:oMath>
      <w:r>
        <w:t xml:space="preserve"> </w:t>
      </w:r>
      <w:r>
        <w:t xml:space="preserve">para aproximar y mapear la dosis matemática esperada de cada muestra hacia el espacio real de ploidía de la especie bajo estudio. El comando integra parámetros clave para modular esta exportación: el archivo VCF de entrada (</w:t>
      </w:r>
      <w:r>
        <w:rPr>
          <w:rStyle w:val="VerbatimChar"/>
        </w:rPr>
        <w:t xml:space="preserve">-v</w:t>
      </w:r>
      <w:r>
        <w:t xml:space="preserve"> </w:t>
      </w:r>
      <w:r>
        <w:t xml:space="preserve">o</w:t>
      </w:r>
      <w:r>
        <w:t xml:space="preserve"> </w:t>
      </w:r>
      <w:r>
        <w:rPr>
          <w:rStyle w:val="VerbatimChar"/>
        </w:rPr>
        <w:t xml:space="preserve">--vcf</w:t>
      </w:r>
      <w:r>
        <w:t xml:space="preserve">), la ploidía genómica (</w:t>
      </w:r>
      <w:r>
        <w:rPr>
          <w:rStyle w:val="VerbatimChar"/>
        </w:rPr>
        <w:t xml:space="preserve">--ploidy</w:t>
      </w:r>
      <w:r>
        <w:t xml:space="preserve">), los hilos asignados (</w:t>
      </w:r>
      <w:r>
        <w:rPr>
          <w:rStyle w:val="VerbatimChar"/>
        </w:rPr>
        <w:t xml:space="preserve">-t</w:t>
      </w:r>
      <w:r>
        <w:t xml:space="preserve"> </w:t>
      </w:r>
      <w:r>
        <w:t xml:space="preserve">o</w:t>
      </w:r>
      <w:r>
        <w:t xml:space="preserve"> </w:t>
      </w:r>
      <w:r>
        <w:rPr>
          <w:rStyle w:val="VerbatimChar"/>
        </w:rPr>
        <w:t xml:space="preserve">--threads</w:t>
      </w:r>
      <w:r>
        <w:t xml:space="preserve">) para un procesamiento de flujo paralelo ultrarrápido, y la bandera para exportar la dosis esperada continua calculada (</w:t>
      </w:r>
      <w:r>
        <w:rPr>
          <w:rStyle w:val="VerbatimChar"/>
        </w:rPr>
        <w:t xml:space="preserve">--raw</w:t>
      </w:r>
      <w:r>
        <w:t xml:space="preserve">); permitiendo asimismo aproximar las dosis a valores discretos enteros correspondientes al vector de dosis según los requerimientos analíticos del investigador y exportando los resultados en formato tabular (</w:t>
      </w:r>
      <w:r>
        <w:rPr>
          <w:rStyle w:val="VerbatimChar"/>
        </w:rPr>
        <w:t xml:space="preserve">.tsv</w:t>
      </w:r>
      <w:r>
        <w:t xml:space="preserve">) de alto rendimiento.</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allele-dosage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DataTypeTok"/>
        </w:rPr>
        <w:t xml:space="preserve">\</w:t>
      </w:r>
      <w:r>
        <w:br/>
      </w:r>
      <w:r>
        <w:rPr>
          <w:rStyle w:val="NormalTok"/>
        </w:rPr>
        <w:t xml:space="preserve">  </w:t>
      </w:r>
      <w:r>
        <w:rPr>
          <w:rStyle w:val="AttributeTok"/>
        </w:rPr>
        <w:t xml:space="preserve">--raw</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OperatorTok"/>
        </w:rPr>
        <w:t xml:space="preserve">&gt;</w:t>
      </w:r>
      <w:r>
        <w:rPr>
          <w:rStyle w:val="NormalTok"/>
        </w:rPr>
        <w:t xml:space="preserve"> dosis_raw.tsv</w:t>
      </w:r>
    </w:p>
    <w:bookmarkEnd w:id="13"/>
    <w:bookmarkStart w:id="14" w:name="distancia-genética-genetic-distance"/>
    <w:p>
      <w:pPr>
        <w:pStyle w:val="Heading3"/>
      </w:pPr>
      <w:r>
        <w:t xml:space="preserve">1.2.5. Distancia Genética (</w:t>
      </w:r>
      <w:r>
        <w:rPr>
          <w:rStyle w:val="VerbatimChar"/>
        </w:rPr>
        <w:t xml:space="preserve">genetic-distance</w:t>
      </w:r>
      <w:r>
        <w:t xml:space="preserve">)</w:t>
      </w:r>
    </w:p>
    <w:p>
      <w:pPr>
        <w:pStyle w:val="FirstParagraph"/>
      </w:pPr>
      <w:r>
        <w:t xml:space="preserve">Este módulo calcula matrices de distancia genética euclidiana por pares a partir de dosis alélicas continuas, compensando matemáticamente el impacto de los datos faltantes intrínsecos de tecnologías de secuenciación masiva. Su ejecución parametriza en la terminal los siguientes argumentos: el archivo VCF depurado de entrada (</w:t>
      </w:r>
      <w:r>
        <w:rPr>
          <w:rStyle w:val="VerbatimChar"/>
        </w:rPr>
        <w:t xml:space="preserve">-v</w:t>
      </w:r>
      <w:r>
        <w:t xml:space="preserve"> </w:t>
      </w:r>
      <w:r>
        <w:t xml:space="preserve">o</w:t>
      </w:r>
      <w:r>
        <w:t xml:space="preserve"> </w:t>
      </w:r>
      <w:r>
        <w:rPr>
          <w:rStyle w:val="VerbatimChar"/>
        </w:rPr>
        <w:t xml:space="preserve">--vcf</w:t>
      </w:r>
      <w:r>
        <w:t xml:space="preserve">), el nivel de ploidía biológica de la especie (</w:t>
      </w:r>
      <w:r>
        <w:rPr>
          <w:rStyle w:val="VerbatimChar"/>
        </w:rPr>
        <w:t xml:space="preserve">--ploidy</w:t>
      </w:r>
      <w:r>
        <w:t xml:space="preserve">), y los hilos de procesamiento en paralelo (</w:t>
      </w:r>
      <w:r>
        <w:rPr>
          <w:rStyle w:val="VerbatimChar"/>
        </w:rPr>
        <w:t xml:space="preserve">-t</w:t>
      </w:r>
      <w:r>
        <w:t xml:space="preserve"> </w:t>
      </w:r>
      <w:r>
        <w:t xml:space="preserve">o</w:t>
      </w:r>
      <w:r>
        <w:t xml:space="preserve"> </w:t>
      </w:r>
      <w:r>
        <w:rPr>
          <w:rStyle w:val="VerbatimChar"/>
        </w:rPr>
        <w:t xml:space="preserve">--threads</w:t>
      </w:r>
      <w:r>
        <w:t xml:space="preserve">) para agilizar el cálculo simultáneo de las distancias euclidianas por pares, exportando la matriz como una tabla delimitada por tabulaciones.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genetic-distance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OperatorTok"/>
        </w:rPr>
        <w:t xml:space="preserve">&gt;</w:t>
      </w:r>
      <w:r>
        <w:rPr>
          <w:rStyle w:val="NormalTok"/>
        </w:rPr>
        <w:t xml:space="preserve"> matriz_distancia.tsv</w:t>
      </w:r>
    </w:p>
    <w:bookmarkEnd w:id="14"/>
    <w:bookmarkStart w:id="15" w:name="explorador-de-marcadores-snp-explorer"/>
    <w:p>
      <w:pPr>
        <w:pStyle w:val="Heading3"/>
      </w:pPr>
      <w:r>
        <w:t xml:space="preserve">1.2.6. Explorador de marcadores (</w:t>
      </w:r>
      <w:r>
        <w:rPr>
          <w:rStyle w:val="VerbatimChar"/>
        </w:rPr>
        <w:t xml:space="preserve">snp-explorer</w:t>
      </w:r>
      <w:r>
        <w:t xml:space="preserve">)</w:t>
      </w:r>
    </w:p>
    <w:p>
      <w:pPr>
        <w:pStyle w:val="FirstParagraph"/>
      </w:pPr>
      <w:r>
        <w:t xml:space="preserve">Este módulo proporciona un entorno interactivo tridimensional para auditar y validar visualmente la calidad física del llamado de marcadores polimórficos de alta relevancia. Su ejecución integra en la terminal los siguientes parámetros clave: el archivo VCF depurado de entrada (</w:t>
      </w:r>
      <w:r>
        <w:rPr>
          <w:rStyle w:val="VerbatimChar"/>
        </w:rPr>
        <w:t xml:space="preserve">--vcf</w:t>
      </w:r>
      <w:r>
        <w:t xml:space="preserve">), la matriz de coordenadas de componentes principales generada previamente (</w:t>
      </w:r>
      <w:r>
        <w:rPr>
          <w:rStyle w:val="VerbatimChar"/>
        </w:rPr>
        <w:t xml:space="preserve">--pca</w:t>
      </w:r>
      <w:r>
        <w:t xml:space="preserve">), el archivo de texto plano con la lista de IDs de variantes de interés (</w:t>
      </w:r>
      <w:r>
        <w:rPr>
          <w:rStyle w:val="VerbatimChar"/>
        </w:rPr>
        <w:t xml:space="preserve">--include</w:t>
      </w:r>
      <w:r>
        <w:t xml:space="preserve">, un ID por línea), la ploidía de la población (</w:t>
      </w:r>
      <w:r>
        <w:rPr>
          <w:rStyle w:val="VerbatimChar"/>
        </w:rPr>
        <w:t xml:space="preserve">-p</w:t>
      </w:r>
      <w:r>
        <w:t xml:space="preserve"> </w:t>
      </w:r>
      <w:r>
        <w:t xml:space="preserve">o</w:t>
      </w:r>
      <w:r>
        <w:t xml:space="preserve"> </w:t>
      </w:r>
      <w:r>
        <w:rPr>
          <w:rStyle w:val="VerbatimChar"/>
        </w:rPr>
        <w:t xml:space="preserve">--ploidy</w:t>
      </w:r>
      <w:r>
        <w:t xml:space="preserve">), y la ruta de salida del cuadro de mando HTML autogenerado (</w:t>
      </w:r>
      <w:r>
        <w:rPr>
          <w:rStyle w:val="VerbatimChar"/>
        </w:rPr>
        <w:t xml:space="preserve">-o</w:t>
      </w:r>
      <w:r>
        <w:t xml:space="preserve"> </w:t>
      </w:r>
      <w:r>
        <w:t xml:space="preserve">o</w:t>
      </w:r>
      <w:r>
        <w:t xml:space="preserve"> </w:t>
      </w:r>
      <w:r>
        <w:rPr>
          <w:rStyle w:val="VerbatimChar"/>
        </w:rPr>
        <w:t xml:space="preserve">--output</w:t>
      </w:r>
      <w:r>
        <w:t xml:space="preserve">), permitiendo cruzar de forma interactiva la profundidad de lectura con la estructura genómica poblacional.</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snp-explorer </w:t>
      </w:r>
      <w:r>
        <w:rPr>
          <w:rStyle w:val="DataTypeTok"/>
        </w:rPr>
        <w:t xml:space="preserve">\</w:t>
      </w:r>
      <w:r>
        <w:br/>
      </w:r>
      <w:r>
        <w:rPr>
          <w:rStyle w:val="NormalTok"/>
        </w:rPr>
        <w:t xml:space="preserve">  </w:t>
      </w:r>
      <w:r>
        <w:rPr>
          <w:rStyle w:val="AttributeTok"/>
        </w:rPr>
        <w:t xml:space="preserve">--vcf</w:t>
      </w:r>
      <w:r>
        <w:rPr>
          <w:rStyle w:val="NormalTok"/>
        </w:rPr>
        <w:t xml:space="preserve"> panel_filtrado.vcf </w:t>
      </w:r>
      <w:r>
        <w:rPr>
          <w:rStyle w:val="DataTypeTok"/>
        </w:rPr>
        <w:t xml:space="preserve">\</w:t>
      </w:r>
      <w:r>
        <w:br/>
      </w:r>
      <w:r>
        <w:rPr>
          <w:rStyle w:val="NormalTok"/>
        </w:rPr>
        <w:t xml:space="preserve">  </w:t>
      </w:r>
      <w:r>
        <w:rPr>
          <w:rStyle w:val="AttributeTok"/>
        </w:rPr>
        <w:t xml:space="preserve">--pca</w:t>
      </w:r>
      <w:r>
        <w:rPr>
          <w:rStyle w:val="NormalTok"/>
        </w:rPr>
        <w:t xml:space="preserve"> resultados_pop/pca_clusters.csv </w:t>
      </w:r>
      <w:r>
        <w:rPr>
          <w:rStyle w:val="DataTypeTok"/>
        </w:rPr>
        <w:t xml:space="preserve">\</w:t>
      </w:r>
      <w:r>
        <w:br/>
      </w:r>
      <w:r>
        <w:rPr>
          <w:rStyle w:val="NormalTok"/>
        </w:rPr>
        <w:t xml:space="preserve">  </w:t>
      </w:r>
      <w:r>
        <w:rPr>
          <w:rStyle w:val="AttributeTok"/>
        </w:rPr>
        <w:t xml:space="preserve">--include</w:t>
      </w:r>
      <w:r>
        <w:rPr>
          <w:rStyle w:val="NormalTok"/>
        </w:rPr>
        <w:t xml:space="preserve"> list_of_snps.txt </w:t>
      </w:r>
      <w:r>
        <w:rPr>
          <w:rStyle w:val="DataTypeTok"/>
        </w:rPr>
        <w:t xml:space="preserve">\</w:t>
      </w:r>
      <w:r>
        <w:br/>
      </w:r>
      <w:r>
        <w:rPr>
          <w:rStyle w:val="NormalTok"/>
        </w:rPr>
        <w:t xml:space="preserve">  </w:t>
      </w:r>
      <w:r>
        <w:rPr>
          <w:rStyle w:val="AttributeTok"/>
        </w:rPr>
        <w:t xml:space="preserve">-p</w:t>
      </w:r>
      <w:r>
        <w:rPr>
          <w:rStyle w:val="NormalTok"/>
        </w:rPr>
        <w:t xml:space="preserve"> 10 </w:t>
      </w:r>
      <w:r>
        <w:rPr>
          <w:rStyle w:val="DataTypeTok"/>
        </w:rPr>
        <w:t xml:space="preserve">\</w:t>
      </w:r>
      <w:r>
        <w:br/>
      </w:r>
      <w:r>
        <w:rPr>
          <w:rStyle w:val="NormalTok"/>
        </w:rPr>
        <w:t xml:space="preserve">  </w:t>
      </w:r>
      <w:r>
        <w:rPr>
          <w:rStyle w:val="AttributeTok"/>
        </w:rPr>
        <w:t xml:space="preserve">-o</w:t>
      </w:r>
      <w:r>
        <w:rPr>
          <w:rStyle w:val="NormalTok"/>
        </w:rPr>
        <w:t xml:space="preserve"> audit.html</w:t>
      </w:r>
    </w:p>
    <w:bookmarkEnd w:id="15"/>
    <w:bookmarkStart w:id="16" w:name="desequilibrio-de-ligamiento-ld"/>
    <w:p>
      <w:pPr>
        <w:pStyle w:val="Heading3"/>
      </w:pPr>
      <w:r>
        <w:t xml:space="preserve">1.2.7. Desequilibrio de Ligamiento (</w:t>
      </w:r>
      <w:r>
        <w:rPr>
          <w:rStyle w:val="VerbatimChar"/>
        </w:rPr>
        <w:t xml:space="preserve">ld</w:t>
      </w:r>
      <w:r>
        <w:t xml:space="preserve">)</w:t>
      </w:r>
    </w:p>
    <w:p>
      <w:pPr>
        <w:pStyle w:val="FirstParagraph"/>
      </w:pPr>
      <w:r>
        <w:t xml:space="preserve">Este módulo calcula el decaimiento de la correlación alélica</w:t>
      </w:r>
      <w:r>
        <w:t xml:space="preserve"> </w:t>
      </w:r>
      <m:oMath>
        <m:sSup>
          <m:e>
            <m:r>
              <m:t>r</m:t>
            </m:r>
          </m:e>
          <m:sup>
            <m:r>
              <m:t>2</m:t>
            </m:r>
          </m:sup>
        </m:sSup>
      </m:oMath>
      <w:r>
        <w:t xml:space="preserve"> </w:t>
      </w:r>
      <w:r>
        <w:t xml:space="preserve">a lo largo de los cromosomas de especies poliploides mediante un enfoque probabilístico de dosis continuas y una ventana deslizante optimizada. Su ejecución integra en la línea de comandos los parámetros de configuración: el archivo VCF de entrada (</w:t>
      </w:r>
      <w:r>
        <w:rPr>
          <w:rStyle w:val="VerbatimChar"/>
        </w:rPr>
        <w:t xml:space="preserve">-v</w:t>
      </w:r>
      <w:r>
        <w:t xml:space="preserve"> </w:t>
      </w:r>
      <w:r>
        <w:t xml:space="preserve">o</w:t>
      </w:r>
      <w:r>
        <w:t xml:space="preserve"> </w:t>
      </w:r>
      <w:r>
        <w:rPr>
          <w:rStyle w:val="VerbatimChar"/>
        </w:rPr>
        <w:t xml:space="preserve">--vcf</w:t>
      </w:r>
      <w:r>
        <w:t xml:space="preserve">), la ruta de salida del gráfico HTML interactivo resultante (</w:t>
      </w:r>
      <w:r>
        <w:rPr>
          <w:rStyle w:val="VerbatimChar"/>
        </w:rPr>
        <w:t xml:space="preserve">-o</w:t>
      </w:r>
      <w:r>
        <w:t xml:space="preserve"> </w:t>
      </w:r>
      <w:r>
        <w:t xml:space="preserve">o</w:t>
      </w:r>
      <w:r>
        <w:t xml:space="preserve"> </w:t>
      </w:r>
      <w:r>
        <w:rPr>
          <w:rStyle w:val="VerbatimChar"/>
        </w:rPr>
        <w:t xml:space="preserve">--output</w:t>
      </w:r>
      <w:r>
        <w:t xml:space="preserve">), la ploidía genómica (</w:t>
      </w:r>
      <w:r>
        <w:rPr>
          <w:rStyle w:val="VerbatimChar"/>
        </w:rPr>
        <w:t xml:space="preserve">--ploidy</w:t>
      </w:r>
      <w:r>
        <w:t xml:space="preserve">), la distancia física máxima en pares de bases para restringir las comparaciones (</w:t>
      </w:r>
      <w:r>
        <w:rPr>
          <w:rStyle w:val="VerbatimChar"/>
        </w:rPr>
        <w:t xml:space="preserve">--max-dist</w:t>
      </w:r>
      <w:r>
        <w:t xml:space="preserve">), el umbral mínimo de correlación para descartar ruido de fondo (</w:t>
      </w:r>
      <w:r>
        <w:rPr>
          <w:rStyle w:val="VerbatimChar"/>
        </w:rPr>
        <w:t xml:space="preserve">--min-r2</w:t>
      </w:r>
      <w:r>
        <w:t xml:space="preserve">), y los hilos en paralelo (</w:t>
      </w:r>
      <w:r>
        <w:rPr>
          <w:rStyle w:val="VerbatimChar"/>
        </w:rPr>
        <w:t xml:space="preserve">-t</w:t>
      </w:r>
      <w:r>
        <w:t xml:space="preserve"> </w:t>
      </w:r>
      <w:r>
        <w:t xml:space="preserve">o</w:t>
      </w:r>
      <w:r>
        <w:t xml:space="preserve"> </w:t>
      </w:r>
      <w:r>
        <w:rPr>
          <w:rStyle w:val="VerbatimChar"/>
        </w:rPr>
        <w:t xml:space="preserve">--threads</w:t>
      </w:r>
      <w:r>
        <w:t xml:space="preserve">) para agilizar los billones de comparaciones matemáticas por ventana física.</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ld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-o</w:t>
      </w:r>
      <w:r>
        <w:rPr>
          <w:rStyle w:val="NormalTok"/>
        </w:rPr>
        <w:t xml:space="preserve"> grafico_ld.html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DataTypeTok"/>
        </w:rPr>
        <w:t xml:space="preserve">\</w:t>
      </w:r>
      <w:r>
        <w:br/>
      </w:r>
      <w:r>
        <w:rPr>
          <w:rStyle w:val="NormalTok"/>
        </w:rPr>
        <w:t xml:space="preserve">  </w:t>
      </w:r>
      <w:r>
        <w:rPr>
          <w:rStyle w:val="AttributeTok"/>
        </w:rPr>
        <w:t xml:space="preserve">--max-dist</w:t>
      </w:r>
      <w:r>
        <w:rPr>
          <w:rStyle w:val="NormalTok"/>
        </w:rPr>
        <w:t xml:space="preserve"> 200000 </w:t>
      </w:r>
      <w:r>
        <w:rPr>
          <w:rStyle w:val="DataTypeTok"/>
        </w:rPr>
        <w:t xml:space="preserve">\</w:t>
      </w:r>
      <w:r>
        <w:br/>
      </w:r>
      <w:r>
        <w:rPr>
          <w:rStyle w:val="NormalTok"/>
        </w:rPr>
        <w:t xml:space="preserve">  </w:t>
      </w:r>
      <w:r>
        <w:rPr>
          <w:rStyle w:val="AttributeTok"/>
        </w:rPr>
        <w:t xml:space="preserve">--min-r2</w:t>
      </w:r>
      <w:r>
        <w:rPr>
          <w:rStyle w:val="NormalTok"/>
        </w:rPr>
        <w:t xml:space="preserve"> 0.1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6"/>
    <w:bookmarkStart w:id="17" w:name="X3ee24de09908d3944ccaaba1a8040192e422b7b"/>
    <w:p>
      <w:pPr>
        <w:pStyle w:val="Heading3"/>
      </w:pPr>
      <w:r>
        <w:t xml:space="preserve">1.2.8. Unión de archivos de variantes VCFs (</w:t>
      </w:r>
      <w:r>
        <w:rPr>
          <w:rStyle w:val="VerbatimChar"/>
        </w:rPr>
        <w:t xml:space="preserve">vcf-merge</w:t>
      </w:r>
      <w:r>
        <w:t xml:space="preserve">)</w:t>
      </w:r>
    </w:p>
    <w:p>
      <w:pPr>
        <w:pStyle w:val="FirstParagraph"/>
      </w:pPr>
      <w:r>
        <w:t xml:space="preserve">Este módulo realiza la consolidación e integración de múltiples archivos VCF de entrada correspondientes a distintas ejecuciones de secuenciación o cromosomas, resolviendo la unión lógica de muestras de forma secuencial. El comando parametriza en la terminal los siguientes argumentos operativos: la lista separada por comas de los archivos VCF de entrada que se desean consolidar (</w:t>
      </w:r>
      <w:r>
        <w:rPr>
          <w:rStyle w:val="VerbatimChar"/>
        </w:rPr>
        <w:t xml:space="preserve">-i</w:t>
      </w:r>
      <w:r>
        <w:t xml:space="preserve"> </w:t>
      </w:r>
      <w:r>
        <w:t xml:space="preserve">o</w:t>
      </w:r>
      <w:r>
        <w:t xml:space="preserve"> </w:t>
      </w:r>
      <w:r>
        <w:rPr>
          <w:rStyle w:val="VerbatimChar"/>
        </w:rPr>
        <w:t xml:space="preserve">--input</w:t>
      </w:r>
      <w:r>
        <w:t xml:space="preserve">), y la ruta de salida del archivo VCF maestro unificado resultante (</w:t>
      </w:r>
      <w:r>
        <w:rPr>
          <w:rStyle w:val="VerbatimChar"/>
        </w:rPr>
        <w:t xml:space="preserve">-o</w:t>
      </w:r>
      <w:r>
        <w:t xml:space="preserve"> </w:t>
      </w:r>
      <w:r>
        <w:t xml:space="preserve">o</w:t>
      </w:r>
      <w:r>
        <w:t xml:space="preserve"> </w:t>
      </w:r>
      <w:r>
        <w:rPr>
          <w:rStyle w:val="VerbatimChar"/>
        </w:rPr>
        <w:t xml:space="preserve">--output</w:t>
      </w:r>
      <w:r>
        <w:t xml:space="preserve">), imputando de forma automática estados probabilísticos de datos faltantes para las muestras ausentes en lotes específicos.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vcf-merge </w:t>
      </w:r>
      <w:r>
        <w:rPr>
          <w:rStyle w:val="DataTypeTok"/>
        </w:rPr>
        <w:t xml:space="preserve">\</w:t>
      </w:r>
      <w:r>
        <w:br/>
      </w:r>
      <w:r>
        <w:rPr>
          <w:rStyle w:val="NormalTok"/>
        </w:rPr>
        <w:t xml:space="preserve">  </w:t>
      </w:r>
      <w:r>
        <w:rPr>
          <w:rStyle w:val="AttributeTok"/>
        </w:rPr>
        <w:t xml:space="preserve">-i</w:t>
      </w:r>
      <w:r>
        <w:rPr>
          <w:rStyle w:val="NormalTok"/>
        </w:rPr>
        <w:t xml:space="preserve"> batch1.vcf,batch2.vcf,batch3.vcf </w:t>
      </w:r>
      <w:r>
        <w:rPr>
          <w:rStyle w:val="DataTypeTok"/>
        </w:rPr>
        <w:t xml:space="preserve">\</w:t>
      </w:r>
      <w:r>
        <w:br/>
      </w:r>
      <w:r>
        <w:rPr>
          <w:rStyle w:val="NormalTok"/>
        </w:rPr>
        <w:t xml:space="preserve">  </w:t>
      </w:r>
      <w:r>
        <w:rPr>
          <w:rStyle w:val="AttributeTok"/>
        </w:rPr>
        <w:t xml:space="preserve">-o</w:t>
      </w:r>
      <w:r>
        <w:rPr>
          <w:rStyle w:val="NormalTok"/>
        </w:rPr>
        <w:t xml:space="preserve"> consolidated.vcf</w:t>
      </w:r>
    </w:p>
    <w:bookmarkEnd w:id="17"/>
    <w:bookmarkStart w:id="18" w:name="Xb9c0d71e2bcd046d384912b598732e267c15c5a"/>
    <w:p>
      <w:pPr>
        <w:pStyle w:val="Heading3"/>
      </w:pPr>
      <w:r>
        <w:t xml:space="preserve">1.2.9. Exportación a GWASpoly y JoinMap (</w:t>
      </w:r>
      <w:r>
        <w:rPr>
          <w:rStyle w:val="VerbatimChar"/>
        </w:rPr>
        <w:t xml:space="preserve">gwaspoly-export</w:t>
      </w:r>
      <w:r>
        <w:t xml:space="preserve"> </w:t>
      </w:r>
      <w:r>
        <w:t xml:space="preserve">/</w:t>
      </w:r>
      <w:r>
        <w:t xml:space="preserve"> </w:t>
      </w:r>
      <w:r>
        <w:rPr>
          <w:rStyle w:val="VerbatimChar"/>
        </w:rPr>
        <w:t xml:space="preserve">joinmap</w:t>
      </w:r>
      <w:r>
        <w:t xml:space="preserve">)</w:t>
      </w:r>
    </w:p>
    <w:p>
      <w:pPr>
        <w:pStyle w:val="FirstParagraph"/>
      </w:pPr>
      <w:r>
        <w:t xml:space="preserve">Este módulo unifica flujos de conversión de formatos genotípicos, permitiendo exportar matrices de dosis a GWASpoly o re-codificar archivos de segregación para JoinMap de manera directa y libre de errores. El comando unificado integra parámetros según el software de destino: para GWASpoly, el archivo VCF depurado de entrada (</w:t>
      </w:r>
      <w:r>
        <w:rPr>
          <w:rStyle w:val="VerbatimChar"/>
        </w:rPr>
        <w:t xml:space="preserve">-v</w:t>
      </w:r>
      <w:r>
        <w:t xml:space="preserve"> </w:t>
      </w:r>
      <w:r>
        <w:t xml:space="preserve">o</w:t>
      </w:r>
      <w:r>
        <w:t xml:space="preserve"> </w:t>
      </w:r>
      <w:r>
        <w:rPr>
          <w:rStyle w:val="VerbatimChar"/>
        </w:rPr>
        <w:t xml:space="preserve">--vcf</w:t>
      </w:r>
      <w:r>
        <w:t xml:space="preserve">), la ploidía (</w:t>
      </w:r>
      <w:r>
        <w:rPr>
          <w:rStyle w:val="VerbatimChar"/>
        </w:rPr>
        <w:t xml:space="preserve">-p</w:t>
      </w:r>
      <w:r>
        <w:t xml:space="preserve"> </w:t>
      </w:r>
      <w:r>
        <w:t xml:space="preserve">o</w:t>
      </w:r>
      <w:r>
        <w:t xml:space="preserve"> </w:t>
      </w:r>
      <w:r>
        <w:rPr>
          <w:rStyle w:val="VerbatimChar"/>
        </w:rPr>
        <w:t xml:space="preserve">--ploidy</w:t>
      </w:r>
      <w:r>
        <w:t xml:space="preserve">), y el archivo CSV resultante de salida (</w:t>
      </w:r>
      <w:r>
        <w:rPr>
          <w:rStyle w:val="VerbatimChar"/>
        </w:rPr>
        <w:t xml:space="preserve">-o</w:t>
      </w:r>
      <w:r>
        <w:t xml:space="preserve"> </w:t>
      </w:r>
      <w:r>
        <w:t xml:space="preserve">o</w:t>
      </w:r>
      <w:r>
        <w:t xml:space="preserve"> </w:t>
      </w:r>
      <w:r>
        <w:rPr>
          <w:rStyle w:val="VerbatimChar"/>
        </w:rPr>
        <w:t xml:space="preserve">--output</w:t>
      </w:r>
      <w:r>
        <w:t xml:space="preserve">); para JoinMap, la matriz de segregación de entrada (</w:t>
      </w:r>
      <w:r>
        <w:rPr>
          <w:rStyle w:val="VerbatimChar"/>
        </w:rPr>
        <w:t xml:space="preserve">--input</w:t>
      </w:r>
      <w:r>
        <w:t xml:space="preserve">), el archivo re-codificado de salida (</w:t>
      </w:r>
      <w:r>
        <w:rPr>
          <w:rStyle w:val="VerbatimChar"/>
        </w:rPr>
        <w:t xml:space="preserve">--output</w:t>
      </w:r>
      <w:r>
        <w:t xml:space="preserve">), y la bandera de corrección automática de errores estructurales de segregación (</w:t>
      </w:r>
      <w:r>
        <w:rPr>
          <w:rStyle w:val="VerbatimChar"/>
        </w:rPr>
        <w:t xml:space="preserve">--fix</w:t>
      </w:r>
      <w:r>
        <w:t xml:space="preserve">).</w:t>
      </w:r>
    </w:p>
    <w:p>
      <w:pPr>
        <w:pStyle w:val="SourceCode"/>
      </w:pPr>
      <w:r>
        <w:rPr>
          <w:rStyle w:val="CommentTok"/>
        </w:rPr>
        <w:t xml:space="preserve"># A. Exportación para R/GWASpoly</w:t>
      </w:r>
      <w:r>
        <w:br/>
      </w:r>
      <w:r>
        <w:rPr>
          <w:rStyle w:val="ExtensionTok"/>
        </w:rPr>
        <w:t xml:space="preserve">java</w:t>
      </w:r>
      <w:r>
        <w:rPr>
          <w:rStyle w:val="NormalTok"/>
        </w:rPr>
        <w:t xml:space="preserve"> </w:t>
      </w:r>
      <w:r>
        <w:rPr>
          <w:rStyle w:val="AttributeTok"/>
        </w:rPr>
        <w:t xml:space="preserve">-jar</w:t>
      </w:r>
      <w:r>
        <w:rPr>
          <w:rStyle w:val="NormalTok"/>
        </w:rPr>
        <w:t xml:space="preserve"> biojava.jar gwaspoly-export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-p</w:t>
      </w:r>
      <w:r>
        <w:rPr>
          <w:rStyle w:val="NormalTok"/>
        </w:rPr>
        <w:t xml:space="preserve"> 10 </w:t>
      </w:r>
      <w:r>
        <w:rPr>
          <w:rStyle w:val="DataTypeTok"/>
        </w:rPr>
        <w:t xml:space="preserve">\</w:t>
      </w:r>
      <w:r>
        <w:br/>
      </w:r>
      <w:r>
        <w:rPr>
          <w:rStyle w:val="NormalTok"/>
        </w:rPr>
        <w:t xml:space="preserve">  </w:t>
      </w:r>
      <w:r>
        <w:rPr>
          <w:rStyle w:val="AttributeTok"/>
        </w:rPr>
        <w:t xml:space="preserve">-o</w:t>
      </w:r>
      <w:r>
        <w:rPr>
          <w:rStyle w:val="NormalTok"/>
        </w:rPr>
        <w:t xml:space="preserve"> gwas_ready.csv</w:t>
      </w:r>
      <w:r>
        <w:br/>
      </w:r>
      <w:r>
        <w:br/>
      </w:r>
      <w:r>
        <w:rPr>
          <w:rStyle w:val="CommentTok"/>
        </w:rPr>
        <w:t xml:space="preserve"># B. Corrección de formato para JoinMap</w:t>
      </w:r>
      <w:r>
        <w:br/>
      </w:r>
      <w:r>
        <w:rPr>
          <w:rStyle w:val="ExtensionTok"/>
        </w:rPr>
        <w:t xml:space="preserve">java</w:t>
      </w:r>
      <w:r>
        <w:rPr>
          <w:rStyle w:val="NormalTok"/>
        </w:rPr>
        <w:t xml:space="preserve"> </w:t>
      </w:r>
      <w:r>
        <w:rPr>
          <w:rStyle w:val="AttributeTok"/>
        </w:rPr>
        <w:t xml:space="preserve">-jar</w:t>
      </w:r>
      <w:r>
        <w:rPr>
          <w:rStyle w:val="NormalTok"/>
        </w:rPr>
        <w:t xml:space="preserve"> biojava.jar joinmap </w:t>
      </w:r>
      <w:r>
        <w:rPr>
          <w:rStyle w:val="DataTypeTok"/>
        </w:rPr>
        <w:t xml:space="preserve">\</w:t>
      </w:r>
      <w:r>
        <w:br/>
      </w:r>
      <w:r>
        <w:rPr>
          <w:rStyle w:val="NormalTok"/>
        </w:rPr>
        <w:t xml:space="preserve">  </w:t>
      </w:r>
      <w:r>
        <w:rPr>
          <w:rStyle w:val="AttributeTok"/>
        </w:rPr>
        <w:t xml:space="preserve">--input</w:t>
      </w:r>
      <w:r>
        <w:rPr>
          <w:rStyle w:val="NormalTok"/>
        </w:rPr>
        <w:t xml:space="preserve"> data.loc </w:t>
      </w:r>
      <w:r>
        <w:rPr>
          <w:rStyle w:val="DataTypeTok"/>
        </w:rPr>
        <w:t xml:space="preserve">\</w:t>
      </w:r>
      <w:r>
        <w:br/>
      </w:r>
      <w:r>
        <w:rPr>
          <w:rStyle w:val="NormalTok"/>
        </w:rPr>
        <w:t xml:space="preserve">  </w:t>
      </w:r>
      <w:r>
        <w:rPr>
          <w:rStyle w:val="AttributeTok"/>
        </w:rPr>
        <w:t xml:space="preserve">--output</w:t>
      </w:r>
      <w:r>
        <w:rPr>
          <w:rStyle w:val="NormalTok"/>
        </w:rPr>
        <w:t xml:space="preserve"> fixed.loc </w:t>
      </w:r>
      <w:r>
        <w:rPr>
          <w:rStyle w:val="DataTypeTok"/>
        </w:rPr>
        <w:t xml:space="preserve">\</w:t>
      </w:r>
      <w:r>
        <w:br/>
      </w:r>
      <w:r>
        <w:rPr>
          <w:rStyle w:val="NormalTok"/>
        </w:rPr>
        <w:t xml:space="preserve">  </w:t>
      </w:r>
      <w:r>
        <w:rPr>
          <w:rStyle w:val="AttributeTok"/>
        </w:rPr>
        <w:t xml:space="preserve">--fix</w:t>
      </w:r>
    </w:p>
    <w:bookmarkEnd w:id="18"/>
    <w:bookmarkStart w:id="19" w:name="genómica-comparativa-comp-gen-kaks-calc"/>
    <w:p>
      <w:pPr>
        <w:pStyle w:val="Heading3"/>
      </w:pPr>
      <w:r>
        <w:t xml:space="preserve">1.2.10. Genómica comparativa (</w:t>
      </w:r>
      <w:r>
        <w:rPr>
          <w:rStyle w:val="VerbatimChar"/>
        </w:rPr>
        <w:t xml:space="preserve">comp-gen</w:t>
      </w:r>
      <w:r>
        <w:t xml:space="preserve"> </w:t>
      </w:r>
      <w:r>
        <w:t xml:space="preserve">/</w:t>
      </w:r>
      <w:r>
        <w:t xml:space="preserve"> </w:t>
      </w:r>
      <w:r>
        <w:rPr>
          <w:rStyle w:val="VerbatimChar"/>
        </w:rPr>
        <w:t xml:space="preserve">kaks-calc</w:t>
      </w:r>
      <w:r>
        <w:t xml:space="preserve">)</w:t>
      </w:r>
    </w:p>
    <w:p>
      <w:pPr>
        <w:pStyle w:val="FirstParagraph"/>
      </w:pPr>
      <w:r>
        <w:t xml:space="preserve">Este módulo asocia la macro-sintenia cromosómica con la diversidad poblacional de variantes y la micro-evolución selectiva de codones en genomas poliploides. El comando principal</w:t>
      </w:r>
      <w:r>
        <w:t xml:space="preserve"> </w:t>
      </w:r>
      <w:r>
        <w:rPr>
          <w:rStyle w:val="VerbatimChar"/>
        </w:rPr>
        <w:t xml:space="preserve">comp-gen</w:t>
      </w:r>
      <w:r>
        <w:t xml:space="preserve"> </w:t>
      </w:r>
      <w:r>
        <w:t xml:space="preserve">integra en la línea de comandos parámetros estructurales y funcionales: las coordenadas físicas primarias y secundarias en formato GFF3 (</w:t>
      </w:r>
      <w:r>
        <w:rPr>
          <w:rStyle w:val="VerbatimChar"/>
        </w:rPr>
        <w:t xml:space="preserve">--gff1</w:t>
      </w:r>
      <w:r>
        <w:t xml:space="preserve"> </w:t>
      </w:r>
      <w:r>
        <w:t xml:space="preserve">y</w:t>
      </w:r>
      <w:r>
        <w:t xml:space="preserve"> </w:t>
      </w:r>
      <w:r>
        <w:rPr>
          <w:rStyle w:val="VerbatimChar"/>
        </w:rPr>
        <w:t xml:space="preserve">--gff2</w:t>
      </w:r>
      <w:r>
        <w:t xml:space="preserve">), el archivo de colinealidad sinténica generado por MCScanX (</w:t>
      </w:r>
      <w:r>
        <w:rPr>
          <w:rStyle w:val="VerbatimChar"/>
        </w:rPr>
        <w:t xml:space="preserve">--collinearity</w:t>
      </w:r>
      <w:r>
        <w:t xml:space="preserve">), las anotaciones funcionales (</w:t>
      </w:r>
      <w:r>
        <w:rPr>
          <w:rStyle w:val="VerbatimChar"/>
        </w:rPr>
        <w:t xml:space="preserve">--annot1</w:t>
      </w:r>
      <w:r>
        <w:t xml:space="preserve"> </w:t>
      </w:r>
      <w:r>
        <w:t xml:space="preserve">y</w:t>
      </w:r>
      <w:r>
        <w:t xml:space="preserve"> </w:t>
      </w:r>
      <w:r>
        <w:rPr>
          <w:rStyle w:val="VerbatimChar"/>
        </w:rPr>
        <w:t xml:space="preserve">--annot2</w:t>
      </w:r>
      <w:r>
        <w:t xml:space="preserve">), el archivo poblacional de variantes VCF (</w:t>
      </w:r>
      <w:r>
        <w:rPr>
          <w:rStyle w:val="VerbatimChar"/>
        </w:rPr>
        <w:t xml:space="preserve">--vcf</w:t>
      </w:r>
      <w:r>
        <w:t xml:space="preserve">), el preset del organismo de estudio (</w:t>
      </w:r>
      <w:r>
        <w:rPr>
          <w:rStyle w:val="VerbatimChar"/>
        </w:rPr>
        <w:t xml:space="preserve">--organism</w:t>
      </w:r>
      <w:r>
        <w:t xml:space="preserve">, ej.</w:t>
      </w:r>
      <w:r>
        <w:t xml:space="preserve"> </w:t>
      </w:r>
      <w:r>
        <w:rPr>
          <w:rStyle w:val="VerbatimChar"/>
        </w:rPr>
        <w:t xml:space="preserve">Saccharum</w:t>
      </w:r>
      <w:r>
        <w:t xml:space="preserve">) o la tasa de sustitución de fondo (</w:t>
      </w:r>
      <w:r>
        <w:rPr>
          <w:rStyle w:val="VerbatimChar"/>
        </w:rPr>
        <w:t xml:space="preserve">--subst-rate</w:t>
      </w:r>
      <w:r>
        <w:t xml:space="preserve">), el archivo de tasas de selección calculado previamente (</w:t>
      </w:r>
      <w:r>
        <w:rPr>
          <w:rStyle w:val="VerbatimChar"/>
        </w:rPr>
        <w:t xml:space="preserve">--kaks</w:t>
      </w:r>
      <w:r>
        <w:t xml:space="preserve">), el reporte tabular consolidado de salida (</w:t>
      </w:r>
      <w:r>
        <w:rPr>
          <w:rStyle w:val="VerbatimChar"/>
        </w:rPr>
        <w:t xml:space="preserve">-o</w:t>
      </w:r>
      <w:r>
        <w:t xml:space="preserve">), y el visor HTML interactivo de salida de la sintenia (</w:t>
      </w:r>
      <w:r>
        <w:rPr>
          <w:rStyle w:val="VerbatimChar"/>
        </w:rPr>
        <w:t xml:space="preserve">--viz</w:t>
      </w:r>
      <w:r>
        <w:t xml:space="preserve">); por su parte, el submódulo</w:t>
      </w:r>
      <w:r>
        <w:t xml:space="preserve"> </w:t>
      </w:r>
      <w:r>
        <w:rPr>
          <w:rStyle w:val="VerbatimChar"/>
        </w:rPr>
        <w:t xml:space="preserve">kaks-calc</w:t>
      </w:r>
      <w:r>
        <w:t xml:space="preserve"> </w:t>
      </w:r>
      <w:r>
        <w:t xml:space="preserve">parametriza las secuencias codificantes (</w:t>
      </w:r>
      <w:r>
        <w:rPr>
          <w:rStyle w:val="VerbatimChar"/>
        </w:rPr>
        <w:t xml:space="preserve">--cds1</w:t>
      </w:r>
      <w:r>
        <w:t xml:space="preserve"> </w:t>
      </w:r>
      <w:r>
        <w:t xml:space="preserve">y</w:t>
      </w:r>
      <w:r>
        <w:t xml:space="preserve"> </w:t>
      </w:r>
      <w:r>
        <w:rPr>
          <w:rStyle w:val="VerbatimChar"/>
        </w:rPr>
        <w:t xml:space="preserve">--cds2</w:t>
      </w:r>
      <w:r>
        <w:t xml:space="preserve">), la colinealidad (</w:t>
      </w:r>
      <w:r>
        <w:rPr>
          <w:rStyle w:val="VerbatimChar"/>
        </w:rPr>
        <w:t xml:space="preserve">--collinearity</w:t>
      </w:r>
      <w:r>
        <w:t xml:space="preserve">), los hilos de CPU asignados (</w:t>
      </w:r>
      <w:r>
        <w:rPr>
          <w:rStyle w:val="VerbatimChar"/>
        </w:rPr>
        <w:t xml:space="preserve">-t</w:t>
      </w:r>
      <w:r>
        <w:t xml:space="preserve"> </w:t>
      </w:r>
      <w:r>
        <w:t xml:space="preserve">o</w:t>
      </w:r>
      <w:r>
        <w:t xml:space="preserve"> </w:t>
      </w:r>
      <w:r>
        <w:rPr>
          <w:rStyle w:val="VerbatimChar"/>
        </w:rPr>
        <w:t xml:space="preserve">--threads</w:t>
      </w:r>
      <w:r>
        <w:t xml:space="preserve">), y el archivo tabular resultante (</w:t>
      </w:r>
      <w:r>
        <w:rPr>
          <w:rStyle w:val="VerbatimChar"/>
        </w:rPr>
        <w:t xml:space="preserve">-o</w:t>
      </w:r>
      <w:r>
        <w:t xml:space="preserve"> </w:t>
      </w:r>
      <w:r>
        <w:t xml:space="preserve">o</w:t>
      </w:r>
      <w:r>
        <w:t xml:space="preserve"> </w:t>
      </w:r>
      <w:r>
        <w:rPr>
          <w:rStyle w:val="VerbatimChar"/>
        </w:rPr>
        <w:t xml:space="preserve">--output</w:t>
      </w:r>
      <w:r>
        <w:t xml:space="preserve">).</w:t>
      </w:r>
    </w:p>
    <w:p>
      <w:pPr>
        <w:pStyle w:val="SourceCode"/>
      </w:pPr>
      <w:r>
        <w:rPr>
          <w:rStyle w:val="CommentTok"/>
        </w:rPr>
        <w:t xml:space="preserve"># A. Análisis Integrativo de Sintenia y Diversidad Poblacional</w:t>
      </w:r>
      <w:r>
        <w:br/>
      </w:r>
      <w:r>
        <w:rPr>
          <w:rStyle w:val="ExtensionTok"/>
        </w:rPr>
        <w:t xml:space="preserve">java</w:t>
      </w:r>
      <w:r>
        <w:rPr>
          <w:rStyle w:val="NormalTok"/>
        </w:rPr>
        <w:t xml:space="preserve"> </w:t>
      </w:r>
      <w:r>
        <w:rPr>
          <w:rStyle w:val="AttributeTok"/>
        </w:rPr>
        <w:t xml:space="preserve">-jar</w:t>
      </w:r>
      <w:r>
        <w:rPr>
          <w:rStyle w:val="NormalTok"/>
        </w:rPr>
        <w:t xml:space="preserve"> biojava.jar comp-gen </w:t>
      </w:r>
      <w:r>
        <w:rPr>
          <w:rStyle w:val="DataTypeTok"/>
        </w:rPr>
        <w:t xml:space="preserve">\</w:t>
      </w:r>
      <w:r>
        <w:br/>
      </w:r>
      <w:r>
        <w:rPr>
          <w:rStyle w:val="NormalTok"/>
        </w:rPr>
        <w:t xml:space="preserve">  </w:t>
      </w:r>
      <w:r>
        <w:rPr>
          <w:rStyle w:val="AttributeTok"/>
        </w:rPr>
        <w:t xml:space="preserve">--gff1</w:t>
      </w:r>
      <w:r>
        <w:rPr>
          <w:rStyle w:val="NormalTok"/>
        </w:rPr>
        <w:t xml:space="preserve"> genome1.gff </w:t>
      </w:r>
      <w:r>
        <w:rPr>
          <w:rStyle w:val="DataTypeTok"/>
        </w:rPr>
        <w:t xml:space="preserve">\</w:t>
      </w:r>
      <w:r>
        <w:br/>
      </w:r>
      <w:r>
        <w:rPr>
          <w:rStyle w:val="NormalTok"/>
        </w:rPr>
        <w:t xml:space="preserve">  </w:t>
      </w:r>
      <w:r>
        <w:rPr>
          <w:rStyle w:val="AttributeTok"/>
        </w:rPr>
        <w:t xml:space="preserve">--gff2</w:t>
      </w:r>
      <w:r>
        <w:rPr>
          <w:rStyle w:val="NormalTok"/>
        </w:rPr>
        <w:t xml:space="preserve"> genome2.gff </w:t>
      </w:r>
      <w:r>
        <w:rPr>
          <w:rStyle w:val="DataTypeTok"/>
        </w:rPr>
        <w:t xml:space="preserve">\</w:t>
      </w:r>
      <w:r>
        <w:br/>
      </w:r>
      <w:r>
        <w:rPr>
          <w:rStyle w:val="NormalTok"/>
        </w:rPr>
        <w:t xml:space="preserve">  </w:t>
      </w:r>
      <w:r>
        <w:rPr>
          <w:rStyle w:val="AttributeTok"/>
        </w:rPr>
        <w:t xml:space="preserve">--collinearity</w:t>
      </w:r>
      <w:r>
        <w:rPr>
          <w:rStyle w:val="NormalTok"/>
        </w:rPr>
        <w:t xml:space="preserve"> results.collinearity </w:t>
      </w:r>
      <w:r>
        <w:rPr>
          <w:rStyle w:val="DataTypeTok"/>
        </w:rPr>
        <w:t xml:space="preserve">\</w:t>
      </w:r>
      <w:r>
        <w:br/>
      </w:r>
      <w:r>
        <w:rPr>
          <w:rStyle w:val="NormalTok"/>
        </w:rPr>
        <w:t xml:space="preserve">  </w:t>
      </w:r>
      <w:r>
        <w:rPr>
          <w:rStyle w:val="AttributeTok"/>
        </w:rPr>
        <w:t xml:space="preserve">--annot1</w:t>
      </w:r>
      <w:r>
        <w:rPr>
          <w:rStyle w:val="NormalTok"/>
        </w:rPr>
        <w:t xml:space="preserve"> annot1.tsv </w:t>
      </w:r>
      <w:r>
        <w:rPr>
          <w:rStyle w:val="DataTypeTok"/>
        </w:rPr>
        <w:t xml:space="preserve">\</w:t>
      </w:r>
      <w:r>
        <w:br/>
      </w:r>
      <w:r>
        <w:rPr>
          <w:rStyle w:val="NormalTok"/>
        </w:rPr>
        <w:t xml:space="preserve">  </w:t>
      </w:r>
      <w:r>
        <w:rPr>
          <w:rStyle w:val="AttributeTok"/>
        </w:rPr>
        <w:t xml:space="preserve">--annot2</w:t>
      </w:r>
      <w:r>
        <w:rPr>
          <w:rStyle w:val="NormalTok"/>
        </w:rPr>
        <w:t xml:space="preserve"> annot2.tsv </w:t>
      </w:r>
      <w:r>
        <w:rPr>
          <w:rStyle w:val="DataTypeTok"/>
        </w:rPr>
        <w:t xml:space="preserve">\</w:t>
      </w:r>
      <w:r>
        <w:br/>
      </w:r>
      <w:r>
        <w:rPr>
          <w:rStyle w:val="NormalTok"/>
        </w:rPr>
        <w:t xml:space="preserve">  </w:t>
      </w:r>
      <w:r>
        <w:rPr>
          <w:rStyle w:val="AttributeTok"/>
        </w:rPr>
        <w:t xml:space="preserve">--vcf</w:t>
      </w:r>
      <w:r>
        <w:rPr>
          <w:rStyle w:val="NormalTok"/>
        </w:rPr>
        <w:t xml:space="preserve"> population_variants.vcf </w:t>
      </w:r>
      <w:r>
        <w:rPr>
          <w:rStyle w:val="DataTypeTok"/>
        </w:rPr>
        <w:t xml:space="preserve">\</w:t>
      </w:r>
      <w:r>
        <w:br/>
      </w:r>
      <w:r>
        <w:rPr>
          <w:rStyle w:val="NormalTok"/>
        </w:rPr>
        <w:t xml:space="preserve">  </w:t>
      </w:r>
      <w:r>
        <w:rPr>
          <w:rStyle w:val="AttributeTok"/>
        </w:rPr>
        <w:t xml:space="preserve">--organism</w:t>
      </w:r>
      <w:r>
        <w:rPr>
          <w:rStyle w:val="NormalTok"/>
        </w:rPr>
        <w:t xml:space="preserve"> Saccharum </w:t>
      </w:r>
      <w:r>
        <w:rPr>
          <w:rStyle w:val="DataTypeTok"/>
        </w:rPr>
        <w:t xml:space="preserve">\</w:t>
      </w:r>
      <w:r>
        <w:br/>
      </w:r>
      <w:r>
        <w:rPr>
          <w:rStyle w:val="NormalTok"/>
        </w:rPr>
        <w:t xml:space="preserve">  </w:t>
      </w:r>
      <w:r>
        <w:rPr>
          <w:rStyle w:val="AttributeTok"/>
        </w:rPr>
        <w:t xml:space="preserve">-o</w:t>
      </w:r>
      <w:r>
        <w:rPr>
          <w:rStyle w:val="NormalTok"/>
        </w:rPr>
        <w:t xml:space="preserve"> reporte_sintenia.tsv </w:t>
      </w:r>
      <w:r>
        <w:rPr>
          <w:rStyle w:val="DataTypeTok"/>
        </w:rPr>
        <w:t xml:space="preserve">\</w:t>
      </w:r>
      <w:r>
        <w:br/>
      </w:r>
      <w:r>
        <w:rPr>
          <w:rStyle w:val="NormalTok"/>
        </w:rPr>
        <w:t xml:space="preserve">  </w:t>
      </w:r>
      <w:r>
        <w:rPr>
          <w:rStyle w:val="AttributeTok"/>
        </w:rPr>
        <w:t xml:space="preserve">--viz</w:t>
      </w:r>
      <w:r>
        <w:rPr>
          <w:rStyle w:val="NormalTok"/>
        </w:rPr>
        <w:t xml:space="preserve"> synteny_explorer.html</w:t>
      </w:r>
      <w:r>
        <w:br/>
      </w:r>
      <w:r>
        <w:br/>
      </w:r>
      <w:r>
        <w:rPr>
          <w:rStyle w:val="CommentTok"/>
        </w:rPr>
        <w:t xml:space="preserve"># B. Cálculo de Presión Evolutiva Selectiva (Ka/Ks)</w:t>
      </w:r>
      <w:r>
        <w:br/>
      </w:r>
      <w:r>
        <w:rPr>
          <w:rStyle w:val="ExtensionTok"/>
        </w:rPr>
        <w:t xml:space="preserve">java</w:t>
      </w:r>
      <w:r>
        <w:rPr>
          <w:rStyle w:val="NormalTok"/>
        </w:rPr>
        <w:t xml:space="preserve"> </w:t>
      </w:r>
      <w:r>
        <w:rPr>
          <w:rStyle w:val="AttributeTok"/>
        </w:rPr>
        <w:t xml:space="preserve">-jar</w:t>
      </w:r>
      <w:r>
        <w:rPr>
          <w:rStyle w:val="NormalTok"/>
        </w:rPr>
        <w:t xml:space="preserve"> biojava.jar kaks-calc </w:t>
      </w:r>
      <w:r>
        <w:rPr>
          <w:rStyle w:val="DataTypeTok"/>
        </w:rPr>
        <w:t xml:space="preserve">\</w:t>
      </w:r>
      <w:r>
        <w:br/>
      </w:r>
      <w:r>
        <w:rPr>
          <w:rStyle w:val="NormalTok"/>
        </w:rPr>
        <w:t xml:space="preserve">  </w:t>
      </w:r>
      <w:r>
        <w:rPr>
          <w:rStyle w:val="AttributeTok"/>
        </w:rPr>
        <w:t xml:space="preserve">--collinearity</w:t>
      </w:r>
      <w:r>
        <w:rPr>
          <w:rStyle w:val="NormalTok"/>
        </w:rPr>
        <w:t xml:space="preserve"> results.collinearity </w:t>
      </w:r>
      <w:r>
        <w:rPr>
          <w:rStyle w:val="DataTypeTok"/>
        </w:rPr>
        <w:t xml:space="preserve">\</w:t>
      </w:r>
      <w:r>
        <w:br/>
      </w:r>
      <w:r>
        <w:rPr>
          <w:rStyle w:val="NormalTok"/>
        </w:rPr>
        <w:t xml:space="preserve">  </w:t>
      </w:r>
      <w:r>
        <w:rPr>
          <w:rStyle w:val="AttributeTok"/>
        </w:rPr>
        <w:t xml:space="preserve">--cds1</w:t>
      </w:r>
      <w:r>
        <w:rPr>
          <w:rStyle w:val="NormalTok"/>
        </w:rPr>
        <w:t xml:space="preserve"> genome1.cds.fa </w:t>
      </w:r>
      <w:r>
        <w:rPr>
          <w:rStyle w:val="DataTypeTok"/>
        </w:rPr>
        <w:t xml:space="preserve">\</w:t>
      </w:r>
      <w:r>
        <w:br/>
      </w:r>
      <w:r>
        <w:rPr>
          <w:rStyle w:val="NormalTok"/>
        </w:rPr>
        <w:t xml:space="preserve">  </w:t>
      </w:r>
      <w:r>
        <w:rPr>
          <w:rStyle w:val="AttributeTok"/>
        </w:rPr>
        <w:t xml:space="preserve">--cds2</w:t>
      </w:r>
      <w:r>
        <w:rPr>
          <w:rStyle w:val="NormalTok"/>
        </w:rPr>
        <w:t xml:space="preserve"> genome2.cds.fa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-o</w:t>
      </w:r>
      <w:r>
        <w:rPr>
          <w:rStyle w:val="NormalTok"/>
        </w:rPr>
        <w:t xml:space="preserve"> real_kaks_results.tsv</w:t>
      </w:r>
    </w:p>
    <w:bookmarkEnd w:id="19"/>
    <w:bookmarkStart w:id="20" w:name="reconstrucción-filogenética-snp-tree"/>
    <w:p>
      <w:pPr>
        <w:pStyle w:val="Heading3"/>
      </w:pPr>
      <w:r>
        <w:t xml:space="preserve">1.2.11. Reconstrucción Filogenética (</w:t>
      </w:r>
      <w:r>
        <w:rPr>
          <w:rStyle w:val="VerbatimChar"/>
        </w:rPr>
        <w:t xml:space="preserve">snp-tree</w:t>
      </w:r>
      <w:r>
        <w:t xml:space="preserve">)</w:t>
      </w:r>
    </w:p>
    <w:p>
      <w:pPr>
        <w:pStyle w:val="FirstParagraph"/>
      </w:pPr>
      <w:r>
        <w:t xml:space="preserve">Este módulo infiere las relaciones evolutivas poblacionales de poliploides reconstruyendo un árbol aglomerativo de Neighbor-Joining con soporte de bootstrap a partir de dosis alélicas continuas. Su ejecución integra en la terminal parámetros críticos que configuran la reconstrucción: el archivo VCF de entrada (</w:t>
      </w:r>
      <w:r>
        <w:rPr>
          <w:rStyle w:val="VerbatimChar"/>
        </w:rPr>
        <w:t xml:space="preserve">-v</w:t>
      </w:r>
      <w:r>
        <w:t xml:space="preserve"> </w:t>
      </w:r>
      <w:r>
        <w:t xml:space="preserve">o</w:t>
      </w:r>
      <w:r>
        <w:t xml:space="preserve"> </w:t>
      </w:r>
      <w:r>
        <w:rPr>
          <w:rStyle w:val="VerbatimChar"/>
        </w:rPr>
        <w:t xml:space="preserve">--vcf</w:t>
      </w:r>
      <w:r>
        <w:t xml:space="preserve">), la ploidía genómica del espécimen de estudio (</w:t>
      </w:r>
      <w:r>
        <w:rPr>
          <w:rStyle w:val="VerbatimChar"/>
        </w:rPr>
        <w:t xml:space="preserve">-p</w:t>
      </w:r>
      <w:r>
        <w:t xml:space="preserve"> </w:t>
      </w:r>
      <w:r>
        <w:t xml:space="preserve">o</w:t>
      </w:r>
      <w:r>
        <w:t xml:space="preserve"> </w:t>
      </w:r>
      <w:r>
        <w:rPr>
          <w:rStyle w:val="VerbatimChar"/>
        </w:rPr>
        <w:t xml:space="preserve">--ploidy</w:t>
      </w:r>
      <w:r>
        <w:t xml:space="preserve">), la matriz de clústeres poblacionales previos generada por PCA para el coloreado inteligente de nodos terminales (</w:t>
      </w:r>
      <w:r>
        <w:rPr>
          <w:rStyle w:val="VerbatimChar"/>
        </w:rPr>
        <w:t xml:space="preserve">--pca</w:t>
      </w:r>
      <w:r>
        <w:t xml:space="preserve">), el número de réplicas de estrés para el soporte de confianza de las ramas (</w:t>
      </w:r>
      <w:r>
        <w:rPr>
          <w:rStyle w:val="VerbatimChar"/>
        </w:rPr>
        <w:t xml:space="preserve">--bootstrap</w:t>
      </w:r>
      <w:r>
        <w:t xml:space="preserve">), el nombre del archivo de salida de la topología Newick y el reporte HTML interactivo (</w:t>
      </w:r>
      <w:r>
        <w:rPr>
          <w:rStyle w:val="VerbatimChar"/>
        </w:rPr>
        <w:t xml:space="preserve">-o</w:t>
      </w:r>
      <w:r>
        <w:t xml:space="preserve"> </w:t>
      </w:r>
      <w:r>
        <w:t xml:space="preserve">o</w:t>
      </w:r>
      <w:r>
        <w:t xml:space="preserve"> </w:t>
      </w:r>
      <w:r>
        <w:rPr>
          <w:rStyle w:val="VerbatimChar"/>
        </w:rPr>
        <w:t xml:space="preserve">--output</w:t>
      </w:r>
      <w:r>
        <w:t xml:space="preserve">), y los hilos paralelos de CPU (</w:t>
      </w:r>
      <w:r>
        <w:rPr>
          <w:rStyle w:val="VerbatimChar"/>
        </w:rPr>
        <w:t xml:space="preserve">-t</w:t>
      </w:r>
      <w:r>
        <w:t xml:space="preserve"> </w:t>
      </w:r>
      <w:r>
        <w:t xml:space="preserve">o</w:t>
      </w:r>
      <w:r>
        <w:t xml:space="preserve"> </w:t>
      </w:r>
      <w:r>
        <w:rPr>
          <w:rStyle w:val="VerbatimChar"/>
        </w:rPr>
        <w:t xml:space="preserve">--threads</w:t>
      </w:r>
      <w:r>
        <w:t xml:space="preserve">).</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snp-tree </w:t>
      </w:r>
      <w:r>
        <w:rPr>
          <w:rStyle w:val="DataTypeTok"/>
        </w:rPr>
        <w:t xml:space="preserve">\</w:t>
      </w:r>
      <w:r>
        <w:br/>
      </w:r>
      <w:r>
        <w:rPr>
          <w:rStyle w:val="NormalTok"/>
        </w:rPr>
        <w:t xml:space="preserve">  </w:t>
      </w:r>
      <w:r>
        <w:rPr>
          <w:rStyle w:val="AttributeTok"/>
        </w:rPr>
        <w:t xml:space="preserve">-v</w:t>
      </w:r>
      <w:r>
        <w:rPr>
          <w:rStyle w:val="NormalTok"/>
        </w:rPr>
        <w:t xml:space="preserve"> panel_filtrado.vcf </w:t>
      </w:r>
      <w:r>
        <w:rPr>
          <w:rStyle w:val="DataTypeTok"/>
        </w:rPr>
        <w:t xml:space="preserve">\</w:t>
      </w:r>
      <w:r>
        <w:br/>
      </w:r>
      <w:r>
        <w:rPr>
          <w:rStyle w:val="NormalTok"/>
        </w:rPr>
        <w:t xml:space="preserve">  </w:t>
      </w:r>
      <w:r>
        <w:rPr>
          <w:rStyle w:val="AttributeTok"/>
        </w:rPr>
        <w:t xml:space="preserve">-p</w:t>
      </w:r>
      <w:r>
        <w:rPr>
          <w:rStyle w:val="NormalTok"/>
        </w:rPr>
        <w:t xml:space="preserve"> 10 </w:t>
      </w:r>
      <w:r>
        <w:rPr>
          <w:rStyle w:val="DataTypeTok"/>
        </w:rPr>
        <w:t xml:space="preserve">\</w:t>
      </w:r>
      <w:r>
        <w:br/>
      </w:r>
      <w:r>
        <w:rPr>
          <w:rStyle w:val="NormalTok"/>
        </w:rPr>
        <w:t xml:space="preserve">  </w:t>
      </w:r>
      <w:r>
        <w:rPr>
          <w:rStyle w:val="AttributeTok"/>
        </w:rPr>
        <w:t xml:space="preserve">--pca</w:t>
      </w:r>
      <w:r>
        <w:rPr>
          <w:rStyle w:val="NormalTok"/>
        </w:rPr>
        <w:t xml:space="preserve"> resultados_pop/pca_clusters.csv </w:t>
      </w:r>
      <w:r>
        <w:rPr>
          <w:rStyle w:val="DataTypeTok"/>
        </w:rPr>
        <w:t xml:space="preserve">\</w:t>
      </w:r>
      <w:r>
        <w:br/>
      </w:r>
      <w:r>
        <w:rPr>
          <w:rStyle w:val="NormalTok"/>
        </w:rPr>
        <w:t xml:space="preserve">  </w:t>
      </w:r>
      <w:r>
        <w:rPr>
          <w:rStyle w:val="AttributeTok"/>
        </w:rPr>
        <w:t xml:space="preserve">--bootstrap</w:t>
      </w:r>
      <w:r>
        <w:rPr>
          <w:rStyle w:val="NormalTok"/>
        </w:rPr>
        <w:t xml:space="preserve"> 100 </w:t>
      </w:r>
      <w:r>
        <w:rPr>
          <w:rStyle w:val="DataTypeTok"/>
        </w:rPr>
        <w:t xml:space="preserve">\</w:t>
      </w:r>
      <w:r>
        <w:br/>
      </w:r>
      <w:r>
        <w:rPr>
          <w:rStyle w:val="NormalTok"/>
        </w:rPr>
        <w:t xml:space="preserve">  </w:t>
      </w:r>
      <w:r>
        <w:rPr>
          <w:rStyle w:val="AttributeTok"/>
        </w:rPr>
        <w:t xml:space="preserve">-o</w:t>
      </w:r>
      <w:r>
        <w:rPr>
          <w:rStyle w:val="NormalTok"/>
        </w:rPr>
        <w:t xml:space="preserve"> filogenia_interactiva.html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20"/>
    <w:bookmarkStart w:id="21" w:name="X2a62a1834524057b4680e2ddfaff20064fd1e62"/>
    <w:p>
      <w:pPr>
        <w:pStyle w:val="Heading3"/>
      </w:pPr>
      <w:r>
        <w:t xml:space="preserve">1.2.12. Suite de Anotación Genómica y Marcadores KASP (</w:t>
      </w:r>
      <w:r>
        <w:rPr>
          <w:rStyle w:val="VerbatimChar"/>
        </w:rPr>
        <w:t xml:space="preserve">annotate</w:t>
      </w:r>
      <w:r>
        <w:t xml:space="preserve">)</w:t>
      </w:r>
    </w:p>
    <w:p>
      <w:pPr>
        <w:pStyle w:val="FirstParagraph"/>
      </w:pPr>
      <w:r>
        <w:t xml:space="preserve">Este módulo integra predicciones de impacto funcional de variantes con anotación multivariada y scoring automatizado para el diseño de marcadores de laboratorio KASP en poliploides. Para su ejecución, el comando parametriza en la terminal los siguientes argumentos: el archivo de variantes VCF de entrada (</w:t>
      </w:r>
      <w:r>
        <w:rPr>
          <w:rStyle w:val="VerbatimChar"/>
        </w:rPr>
        <w:t xml:space="preserve">-v</w:t>
      </w:r>
      <w:r>
        <w:t xml:space="preserve"> </w:t>
      </w:r>
      <w:r>
        <w:t xml:space="preserve">o</w:t>
      </w:r>
      <w:r>
        <w:t xml:space="preserve"> </w:t>
      </w:r>
      <w:r>
        <w:rPr>
          <w:rStyle w:val="VerbatimChar"/>
        </w:rPr>
        <w:t xml:space="preserve">--vcf</w:t>
      </w:r>
      <w:r>
        <w:t xml:space="preserve">), la anotación de coordenadas físicas del genoma de referencia en formato GFF3 (</w:t>
      </w:r>
      <w:r>
        <w:rPr>
          <w:rStyle w:val="VerbatimChar"/>
        </w:rPr>
        <w:t xml:space="preserve">-g</w:t>
      </w:r>
      <w:r>
        <w:t xml:space="preserve"> </w:t>
      </w:r>
      <w:r>
        <w:t xml:space="preserve">o</w:t>
      </w:r>
      <w:r>
        <w:t xml:space="preserve"> </w:t>
      </w:r>
      <w:r>
        <w:rPr>
          <w:rStyle w:val="VerbatimChar"/>
        </w:rPr>
        <w:t xml:space="preserve">--gff</w:t>
      </w:r>
      <w:r>
        <w:t xml:space="preserve">), el genoma de referencia en formato FASTA (</w:t>
      </w:r>
      <w:r>
        <w:rPr>
          <w:rStyle w:val="VerbatimChar"/>
        </w:rPr>
        <w:t xml:space="preserve">-r</w:t>
      </w:r>
      <w:r>
        <w:t xml:space="preserve"> </w:t>
      </w:r>
      <w:r>
        <w:t xml:space="preserve">o</w:t>
      </w:r>
      <w:r>
        <w:t xml:space="preserve"> </w:t>
      </w:r>
      <w:r>
        <w:rPr>
          <w:rStyle w:val="VerbatimChar"/>
        </w:rPr>
        <w:t xml:space="preserve">--ref-genome</w:t>
      </w:r>
      <w:r>
        <w:t xml:space="preserve">), la anotación genómica secundaria opcional (</w:t>
      </w:r>
      <w:r>
        <w:rPr>
          <w:rStyle w:val="VerbatimChar"/>
        </w:rPr>
        <w:t xml:space="preserve">--gff2</w:t>
      </w:r>
      <w:r>
        <w:t xml:space="preserve">), el archivo FASTA de proteínas (</w:t>
      </w:r>
      <w:r>
        <w:rPr>
          <w:rStyle w:val="VerbatimChar"/>
        </w:rPr>
        <w:t xml:space="preserve">-p</w:t>
      </w:r>
      <w:r>
        <w:t xml:space="preserve"> </w:t>
      </w:r>
      <w:r>
        <w:t xml:space="preserve">o</w:t>
      </w:r>
      <w:r>
        <w:t xml:space="preserve"> </w:t>
      </w:r>
      <w:r>
        <w:rPr>
          <w:rStyle w:val="VerbatimChar"/>
        </w:rPr>
        <w:t xml:space="preserve">--protein</w:t>
      </w:r>
      <w:r>
        <w:t xml:space="preserve">), el archivo FASTA de secuencias codificantes (</w:t>
      </w:r>
      <w:r>
        <w:rPr>
          <w:rStyle w:val="VerbatimChar"/>
        </w:rPr>
        <w:t xml:space="preserve">-c</w:t>
      </w:r>
      <w:r>
        <w:t xml:space="preserve"> </w:t>
      </w:r>
      <w:r>
        <w:t xml:space="preserve">o</w:t>
      </w:r>
      <w:r>
        <w:t xml:space="preserve"> </w:t>
      </w:r>
      <w:r>
        <w:rPr>
          <w:rStyle w:val="VerbatimChar"/>
        </w:rPr>
        <w:t xml:space="preserve">--cds</w:t>
      </w:r>
      <w:r>
        <w:t xml:space="preserve">), la ventana de búsqueda en pares de bases alrededor de la variante (</w:t>
      </w:r>
      <w:r>
        <w:rPr>
          <w:rStyle w:val="VerbatimChar"/>
        </w:rPr>
        <w:t xml:space="preserve">-w</w:t>
      </w:r>
      <w:r>
        <w:t xml:space="preserve"> </w:t>
      </w:r>
      <w:r>
        <w:t xml:space="preserve">o</w:t>
      </w:r>
      <w:r>
        <w:t xml:space="preserve"> </w:t>
      </w:r>
      <w:r>
        <w:rPr>
          <w:rStyle w:val="VerbatimChar"/>
        </w:rPr>
        <w:t xml:space="preserve">--window</w:t>
      </w:r>
      <w:r>
        <w:t xml:space="preserve">), y el nombre del cuadro de mando HTML autogenerado resultante de salida (</w:t>
      </w:r>
      <w:r>
        <w:rPr>
          <w:rStyle w:val="VerbatimChar"/>
        </w:rPr>
        <w:t xml:space="preserve">-o</w:t>
      </w:r>
      <w:r>
        <w:t xml:space="preserve"> </w:t>
      </w:r>
      <w:r>
        <w:t xml:space="preserve">o</w:t>
      </w:r>
      <w:r>
        <w:t xml:space="preserve"> </w:t>
      </w:r>
      <w:r>
        <w:rPr>
          <w:rStyle w:val="VerbatimChar"/>
        </w:rPr>
        <w:t xml:space="preserve">--output</w:t>
      </w:r>
      <w:r>
        <w:t xml:space="preserve">).</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annotate </w:t>
      </w:r>
      <w:r>
        <w:rPr>
          <w:rStyle w:val="DataTypeTok"/>
        </w:rPr>
        <w:t xml:space="preserve">\</w:t>
      </w:r>
      <w:r>
        <w:br/>
      </w:r>
      <w:r>
        <w:rPr>
          <w:rStyle w:val="NormalTok"/>
        </w:rPr>
        <w:t xml:space="preserve">  </w:t>
      </w:r>
      <w:r>
        <w:rPr>
          <w:rStyle w:val="AttributeTok"/>
        </w:rPr>
        <w:t xml:space="preserve">-v</w:t>
      </w:r>
      <w:r>
        <w:rPr>
          <w:rStyle w:val="NormalTok"/>
        </w:rPr>
        <w:t xml:space="preserve"> population.vcf </w:t>
      </w:r>
      <w:r>
        <w:rPr>
          <w:rStyle w:val="DataTypeTok"/>
        </w:rPr>
        <w:t xml:space="preserve">\</w:t>
      </w:r>
      <w:r>
        <w:br/>
      </w:r>
      <w:r>
        <w:rPr>
          <w:rStyle w:val="NormalTok"/>
        </w:rPr>
        <w:t xml:space="preserve">  </w:t>
      </w:r>
      <w:r>
        <w:rPr>
          <w:rStyle w:val="AttributeTok"/>
        </w:rPr>
        <w:t xml:space="preserve">-g</w:t>
      </w:r>
      <w:r>
        <w:rPr>
          <w:rStyle w:val="NormalTok"/>
        </w:rPr>
        <w:t xml:space="preserve"> genome1.gff3 </w:t>
      </w:r>
      <w:r>
        <w:rPr>
          <w:rStyle w:val="DataTypeTok"/>
        </w:rPr>
        <w:t xml:space="preserve">\</w:t>
      </w:r>
      <w:r>
        <w:br/>
      </w:r>
      <w:r>
        <w:rPr>
          <w:rStyle w:val="NormalTok"/>
        </w:rPr>
        <w:t xml:space="preserve">  </w:t>
      </w:r>
      <w:r>
        <w:rPr>
          <w:rStyle w:val="AttributeTok"/>
        </w:rPr>
        <w:t xml:space="preserve">-r</w:t>
      </w:r>
      <w:r>
        <w:rPr>
          <w:rStyle w:val="NormalTok"/>
        </w:rPr>
        <w:t xml:space="preserve"> genome1.fasta </w:t>
      </w:r>
      <w:r>
        <w:rPr>
          <w:rStyle w:val="DataTypeTok"/>
        </w:rPr>
        <w:t xml:space="preserve">\</w:t>
      </w:r>
      <w:r>
        <w:br/>
      </w:r>
      <w:r>
        <w:rPr>
          <w:rStyle w:val="NormalTok"/>
        </w:rPr>
        <w:t xml:space="preserve">  </w:t>
      </w:r>
      <w:r>
        <w:rPr>
          <w:rStyle w:val="AttributeTok"/>
        </w:rPr>
        <w:t xml:space="preserve">--gff2</w:t>
      </w:r>
      <w:r>
        <w:rPr>
          <w:rStyle w:val="NormalTok"/>
        </w:rPr>
        <w:t xml:space="preserve"> genome2.gff3 </w:t>
      </w:r>
      <w:r>
        <w:rPr>
          <w:rStyle w:val="DataTypeTok"/>
        </w:rPr>
        <w:t xml:space="preserve">\</w:t>
      </w:r>
      <w:r>
        <w:br/>
      </w:r>
      <w:r>
        <w:rPr>
          <w:rStyle w:val="NormalTok"/>
        </w:rPr>
        <w:t xml:space="preserve">  </w:t>
      </w:r>
      <w:r>
        <w:rPr>
          <w:rStyle w:val="AttributeTok"/>
        </w:rPr>
        <w:t xml:space="preserve">-p</w:t>
      </w:r>
      <w:r>
        <w:rPr>
          <w:rStyle w:val="NormalTok"/>
        </w:rPr>
        <w:t xml:space="preserve"> proteins.faa </w:t>
      </w:r>
      <w:r>
        <w:rPr>
          <w:rStyle w:val="DataTypeTok"/>
        </w:rPr>
        <w:t xml:space="preserve">\</w:t>
      </w:r>
      <w:r>
        <w:br/>
      </w:r>
      <w:r>
        <w:rPr>
          <w:rStyle w:val="NormalTok"/>
        </w:rPr>
        <w:t xml:space="preserve">  </w:t>
      </w:r>
      <w:r>
        <w:rPr>
          <w:rStyle w:val="AttributeTok"/>
        </w:rPr>
        <w:t xml:space="preserve">-c</w:t>
      </w:r>
      <w:r>
        <w:rPr>
          <w:rStyle w:val="NormalTok"/>
        </w:rPr>
        <w:t xml:space="preserve"> cds.fna </w:t>
      </w:r>
      <w:r>
        <w:rPr>
          <w:rStyle w:val="DataTypeTok"/>
        </w:rPr>
        <w:t xml:space="preserve">\</w:t>
      </w:r>
      <w:r>
        <w:br/>
      </w:r>
      <w:r>
        <w:rPr>
          <w:rStyle w:val="NormalTok"/>
        </w:rPr>
        <w:t xml:space="preserve">  </w:t>
      </w:r>
      <w:r>
        <w:rPr>
          <w:rStyle w:val="AttributeTok"/>
        </w:rPr>
        <w:t xml:space="preserve">-w</w:t>
      </w:r>
      <w:r>
        <w:rPr>
          <w:rStyle w:val="NormalTok"/>
        </w:rPr>
        <w:t xml:space="preserve"> 5000 </w:t>
      </w:r>
      <w:r>
        <w:rPr>
          <w:rStyle w:val="DataTypeTok"/>
        </w:rPr>
        <w:t xml:space="preserve">\</w:t>
      </w:r>
      <w:r>
        <w:br/>
      </w:r>
      <w:r>
        <w:rPr>
          <w:rStyle w:val="NormalTok"/>
        </w:rPr>
        <w:t xml:space="preserve">  </w:t>
      </w:r>
      <w:r>
        <w:rPr>
          <w:rStyle w:val="AttributeTok"/>
        </w:rPr>
        <w:t xml:space="preserve">-o</w:t>
      </w:r>
      <w:r>
        <w:rPr>
          <w:rStyle w:val="NormalTok"/>
        </w:rPr>
        <w:t xml:space="preserve"> annotation_suite.html</w:t>
      </w:r>
    </w:p>
    <w:bookmarkEnd w:id="21"/>
    <w:bookmarkStart w:id="22" w:name="Xa621a0cc8a06f03c85c568c7e832b222137b0f5"/>
    <w:p>
      <w:pPr>
        <w:pStyle w:val="Heading3"/>
      </w:pPr>
      <w:r>
        <w:t xml:space="preserve">1.2.13. Estudios de asociación fenotipo - genotipo (</w:t>
      </w:r>
      <w:r>
        <w:rPr>
          <w:rStyle w:val="VerbatimChar"/>
        </w:rPr>
        <w:t xml:space="preserve">gwas</w:t>
      </w:r>
      <w:r>
        <w:t xml:space="preserve">)</w:t>
      </w:r>
    </w:p>
    <w:p>
      <w:pPr>
        <w:pStyle w:val="FirstParagraph"/>
      </w:pPr>
      <w:r>
        <w:t xml:space="preserve">Este es el módulo estadístico de mayor complejidad y robustez de la plataforma, desarrollado para el mapeo de asociación genómica cuantitativa en organismos poliploides. A diferencia de los análisis tradicionales basados únicamente en variantes individuales (</w:t>
      </w:r>
      <w:r>
        <w:rPr>
          <w:i/>
          <w:iCs/>
        </w:rPr>
        <w:t xml:space="preserve">single-marker analysis</w:t>
      </w:r>
      <w:r>
        <w:t xml:space="preserve">), el módulo integra un novedoso enfoque de</w:t>
      </w:r>
      <w:r>
        <w:t xml:space="preserve"> </w:t>
      </w:r>
      <w:r>
        <w:rPr>
          <w:b/>
          <w:bCs/>
        </w:rPr>
        <w:t xml:space="preserve">asociación basada en haplotipos</w:t>
      </w:r>
      <w:r>
        <w:t xml:space="preserve"> </w:t>
      </w:r>
      <w:r>
        <w:t xml:space="preserve">mediante ventanas deslizantes físicas o por número de marcadores (</w:t>
      </w:r>
      <w:r>
        <w:rPr>
          <w:rStyle w:val="VerbatimChar"/>
        </w:rPr>
        <w:t xml:space="preserve">-w</w:t>
      </w:r>
      <w:r>
        <w:t xml:space="preserve"> </w:t>
      </w:r>
      <w:r>
        <w:t xml:space="preserve">o</w:t>
      </w:r>
      <w:r>
        <w:t xml:space="preserve"> </w:t>
      </w:r>
      <w:r>
        <w:rPr>
          <w:rStyle w:val="VerbatimChar"/>
        </w:rPr>
        <w:t xml:space="preserve">--window</w:t>
      </w:r>
      <w:r>
        <w:t xml:space="preserve">); este método extrae la variación local de fase genotípica mediante la Descomposición en Valores Singulares (SVD) sobre la matriz de dosis contiguas, consolidando haplotipos representativos (variables latentes multivariadas) que incrementan sustancialmente el poder estadístico para capturar el desequilibrio de ligamiento en regiones genómicas complejas de poliploides. A nivel estadístico, la asociación fenotipo-genotipo se resuelve a través de Modelos Lineales Mixtos (MLM) utilizando la aproximación ultrarrápida EMMAX, controlando rigurosamente la inflación genómica y los falsos positivos mediante matrices de parentesco genómico (</w:t>
      </w:r>
      <m:oMath>
        <m:r>
          <m:t>K</m:t>
        </m:r>
      </m:oMath>
      <w:r>
        <w:t xml:space="preserve">). Para potenciar la detección de QTLs de efectos sutiles, el software implementa la corrección</w:t>
      </w:r>
      <w:r>
        <w:t xml:space="preserve"> </w:t>
      </w:r>
      <w:r>
        <w:rPr>
          <w:b/>
          <w:bCs/>
        </w:rPr>
        <w:t xml:space="preserve">LOCO</w:t>
      </w:r>
      <w:r>
        <w:t xml:space="preserve"> </w:t>
      </w:r>
      <w:r>
        <w:t xml:space="preserve">(</w:t>
      </w:r>
      <w:r>
        <w:rPr>
          <w:i/>
          <w:iCs/>
        </w:rPr>
        <w:t xml:space="preserve">Leave-One-Chromosome-Out</w:t>
      </w:r>
      <w:r>
        <w:t xml:space="preserve">, activada con</w:t>
      </w:r>
      <w:r>
        <w:t xml:space="preserve"> </w:t>
      </w:r>
      <w:r>
        <w:rPr>
          <w:rStyle w:val="VerbatimChar"/>
        </w:rPr>
        <w:t xml:space="preserve">--loco</w:t>
      </w:r>
      <w:r>
        <w:t xml:space="preserve">), la cual recalcula de forma iterativa matrices de parentesco que excluyen el cromosoma bajo evaluación, evitando así la auto-atenuación del poder de detección genómica (</w:t>
      </w:r>
      <w:r>
        <w:rPr>
          <w:i/>
          <w:iCs/>
        </w:rPr>
        <w:t xml:space="preserve">proximal contamination</w:t>
      </w:r>
      <w:r>
        <w:t xml:space="preserve">). Adicionalmente, el módulo evalúa de forma simultánea múltiples modelos de acción génica (aditivo, dominancia símplex/dúplex y modelos generales) adaptados a dosis alélicas continuas, permite modelar interacciones epistáticas de segundo orden entre marcadores líderes (</w:t>
      </w:r>
      <w:r>
        <w:rPr>
          <w:rStyle w:val="VerbatimChar"/>
        </w:rPr>
        <w:t xml:space="preserve">--epistasis</w:t>
      </w:r>
      <w:r>
        <w:t xml:space="preserve">), e integra variables fijas ambientales o de bloques experimentales (</w:t>
      </w:r>
      <w:r>
        <w:rPr>
          <w:rStyle w:val="VerbatimChar"/>
        </w:rPr>
        <w:t xml:space="preserve">--fixed</w:t>
      </w:r>
      <w:r>
        <w:t xml:space="preserve">) con codificación dummy automática. Asimismo, a través de la bandera</w:t>
      </w:r>
      <w:r>
        <w:t xml:space="preserve"> </w:t>
      </w:r>
      <w:r>
        <w:rPr>
          <w:rStyle w:val="VerbatimChar"/>
        </w:rPr>
        <w:t xml:space="preserve">--gwaspoly</w:t>
      </w:r>
      <w:r>
        <w:t xml:space="preserve">, el módulo activa un modo de compatibilidad estricta que replica con exactitud matemática y estadística los modelos de acción alélica y las especificaciones de diseño de la biblioteca estándar de R</w:t>
      </w:r>
      <w:r>
        <w:t xml:space="preserve"> </w:t>
      </w:r>
      <w:r>
        <w:rPr>
          <w:i/>
          <w:iCs/>
        </w:rPr>
        <w:t xml:space="preserve">GWASpoly</w:t>
      </w:r>
      <w:r>
        <w:t xml:space="preserve"> </w:t>
      </w:r>
      <w:r>
        <w:t xml:space="preserve">(Rosyara et al., 2016), garantizando paridad absoluta en los resultados de mapeo para validación cruzada. Su robustez se completa con filtros rigurosos de frecuencia genotípica máxima (</w:t>
      </w:r>
      <w:r>
        <w:rPr>
          <w:rStyle w:val="VerbatimChar"/>
        </w:rPr>
        <w:t xml:space="preserve">--max-geno-freq</w:t>
      </w:r>
      <w:r>
        <w:t xml:space="preserve">) y MAF adaptados a poliploides (</w:t>
      </w:r>
      <w:r>
        <w:rPr>
          <w:rStyle w:val="VerbatimChar"/>
        </w:rPr>
        <w:t xml:space="preserve">--maf</w:t>
      </w:r>
      <w:r>
        <w:t xml:space="preserve">), generando como resultado final un cuadro de mando HTML dinámico interactivo con gráficos vectoriales de Manhattan (con filtros interactivos por modelo genético), curvas Q-Q de bondad de ajuste, y perfiles de efectos de dosis para los loci asociados.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biojava.jar gwas </w:t>
      </w:r>
      <w:r>
        <w:rPr>
          <w:rStyle w:val="DataTypeTok"/>
        </w:rPr>
        <w:t xml:space="preserve">\</w:t>
      </w:r>
      <w:r>
        <w:br/>
      </w:r>
      <w:r>
        <w:rPr>
          <w:rStyle w:val="NormalTok"/>
        </w:rPr>
        <w:t xml:space="preserve">  </w:t>
      </w:r>
      <w:r>
        <w:rPr>
          <w:rStyle w:val="AttributeTok"/>
        </w:rPr>
        <w:t xml:space="preserve">-v</w:t>
      </w:r>
      <w:r>
        <w:rPr>
          <w:rStyle w:val="NormalTok"/>
        </w:rPr>
        <w:t xml:space="preserve"> population.vcf </w:t>
      </w:r>
      <w:r>
        <w:rPr>
          <w:rStyle w:val="DataTypeTok"/>
        </w:rPr>
        <w:t xml:space="preserve">\</w:t>
      </w:r>
      <w:r>
        <w:br/>
      </w:r>
      <w:r>
        <w:rPr>
          <w:rStyle w:val="NormalTok"/>
        </w:rPr>
        <w:t xml:space="preserve">  </w:t>
      </w:r>
      <w:r>
        <w:rPr>
          <w:rStyle w:val="AttributeTok"/>
        </w:rPr>
        <w:t xml:space="preserve">--pheno</w:t>
      </w:r>
      <w:r>
        <w:rPr>
          <w:rStyle w:val="NormalTok"/>
        </w:rPr>
        <w:t xml:space="preserve"> phenotypes.csv </w:t>
      </w:r>
      <w:r>
        <w:rPr>
          <w:rStyle w:val="DataTypeTok"/>
        </w:rPr>
        <w:t xml:space="preserve">\</w:t>
      </w:r>
      <w:r>
        <w:br/>
      </w:r>
      <w:r>
        <w:rPr>
          <w:rStyle w:val="NormalTok"/>
        </w:rPr>
        <w:t xml:space="preserve">  </w:t>
      </w:r>
      <w:r>
        <w:rPr>
          <w:rStyle w:val="AttributeTok"/>
        </w:rPr>
        <w:t xml:space="preserve">--trait</w:t>
      </w:r>
      <w:r>
        <w:rPr>
          <w:rStyle w:val="NormalTok"/>
        </w:rPr>
        <w:t xml:space="preserve"> yield </w:t>
      </w:r>
      <w:r>
        <w:rPr>
          <w:rStyle w:val="DataTypeTok"/>
        </w:rPr>
        <w:t xml:space="preserve">\</w:t>
      </w:r>
      <w:r>
        <w:br/>
      </w:r>
      <w:r>
        <w:rPr>
          <w:rStyle w:val="NormalTok"/>
        </w:rPr>
        <w:t xml:space="preserve">  </w:t>
      </w:r>
      <w:r>
        <w:rPr>
          <w:rStyle w:val="AttributeTok"/>
        </w:rPr>
        <w:t xml:space="preserve">-p</w:t>
      </w:r>
      <w:r>
        <w:rPr>
          <w:rStyle w:val="NormalTok"/>
        </w:rPr>
        <w:t xml:space="preserve"> 10 </w:t>
      </w:r>
      <w:r>
        <w:rPr>
          <w:rStyle w:val="DataTypeTok"/>
        </w:rPr>
        <w:t xml:space="preserve">\</w:t>
      </w:r>
      <w:r>
        <w:br/>
      </w:r>
      <w:r>
        <w:rPr>
          <w:rStyle w:val="NormalTok"/>
        </w:rPr>
        <w:t xml:space="preserve">  </w:t>
      </w:r>
      <w:r>
        <w:rPr>
          <w:rStyle w:val="AttributeTok"/>
        </w:rPr>
        <w:t xml:space="preserve">--loco</w:t>
      </w:r>
      <w:r>
        <w:rPr>
          <w:rStyle w:val="NormalTok"/>
        </w:rPr>
        <w:t xml:space="preserve"> </w:t>
      </w:r>
      <w:r>
        <w:rPr>
          <w:rStyle w:val="DataTypeTok"/>
        </w:rPr>
        <w:t xml:space="preserve">\</w:t>
      </w:r>
      <w:r>
        <w:br/>
      </w:r>
      <w:r>
        <w:rPr>
          <w:rStyle w:val="NormalTok"/>
        </w:rPr>
        <w:t xml:space="preserve">  </w:t>
      </w:r>
      <w:r>
        <w:rPr>
          <w:rStyle w:val="AttributeTok"/>
        </w:rPr>
        <w:t xml:space="preserve">--epistasis</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1 </w:t>
      </w:r>
      <w:r>
        <w:rPr>
          <w:rStyle w:val="DataTypeTok"/>
        </w:rPr>
        <w:t xml:space="preserve">\</w:t>
      </w:r>
      <w:r>
        <w:br/>
      </w:r>
      <w:r>
        <w:rPr>
          <w:rStyle w:val="NormalTok"/>
        </w:rPr>
        <w:t xml:space="preserve">  </w:t>
      </w:r>
      <w:r>
        <w:rPr>
          <w:rStyle w:val="AttributeTok"/>
        </w:rPr>
        <w:t xml:space="preserve">--fixed</w:t>
      </w:r>
      <w:r>
        <w:rPr>
          <w:rStyle w:val="NormalTok"/>
        </w:rPr>
        <w:t xml:space="preserve"> location,year </w:t>
      </w:r>
      <w:r>
        <w:rPr>
          <w:rStyle w:val="DataTypeTok"/>
        </w:rPr>
        <w:t xml:space="preserve">\</w:t>
      </w:r>
      <w:r>
        <w:br/>
      </w:r>
      <w:r>
        <w:rPr>
          <w:rStyle w:val="NormalTok"/>
        </w:rPr>
        <w:t xml:space="preserve">  </w:t>
      </w:r>
      <w:r>
        <w:rPr>
          <w:rStyle w:val="AttributeTok"/>
        </w:rPr>
        <w:t xml:space="preserve">--maf</w:t>
      </w:r>
      <w:r>
        <w:rPr>
          <w:rStyle w:val="NormalTok"/>
        </w:rPr>
        <w:t xml:space="preserve"> 0.05 </w:t>
      </w:r>
      <w:r>
        <w:rPr>
          <w:rStyle w:val="DataTypeTok"/>
        </w:rPr>
        <w:t xml:space="preserve">\</w:t>
      </w:r>
      <w:r>
        <w:br/>
      </w:r>
      <w:r>
        <w:rPr>
          <w:rStyle w:val="NormalTok"/>
        </w:rPr>
        <w:t xml:space="preserve">  </w:t>
      </w:r>
      <w:r>
        <w:rPr>
          <w:rStyle w:val="AttributeTok"/>
        </w:rPr>
        <w:t xml:space="preserve">-o</w:t>
      </w:r>
      <w:r>
        <w:rPr>
          <w:rStyle w:val="NormalTok"/>
        </w:rPr>
        <w:t xml:space="preserve"> gwas_dashboard.html</w:t>
      </w:r>
    </w:p>
    <w:p>
      <w:r>
        <w:pict>
          <v:rect style="width:0;height:1.5pt" o:hralign="center" o:hrstd="t" o:hr="t"/>
        </w:pict>
      </w:r>
    </w:p>
    <w:bookmarkEnd w:id="22"/>
    <w:bookmarkEnd w:id="23"/>
    <w:bookmarkStart w:id="24" w:name="referencias"/>
    <w:p>
      <w:pPr>
        <w:pStyle w:val="Heading2"/>
      </w:pPr>
      <w:r>
        <w:t xml:space="preserve">REFERENCIAS</w:t>
      </w:r>
    </w:p>
    <w:p>
      <w:pPr>
        <w:pStyle w:val="FirstParagraph"/>
      </w:pPr>
      <w:r>
        <w:t xml:space="preserve">Amadeu, R. R., Cellon, C., Amadeu, S. A., &amp; Munoz, P. R. (2016). AGHmatrix: R package to construct relationship matrices for autotetraploids and diploids.</w:t>
      </w:r>
      <w:r>
        <w:t xml:space="preserve"> </w:t>
      </w:r>
      <w:r>
        <w:rPr>
          <w:i/>
          <w:iCs/>
        </w:rPr>
        <w:t xml:space="preserve">The Plant Genome</w:t>
      </w:r>
      <w:r>
        <w:t xml:space="preserve">, 9(3), 1-8. https://doi.org/10.3835/plantgenome2016.01.0009</w:t>
      </w:r>
    </w:p>
    <w:p>
      <w:pPr>
        <w:pStyle w:val="BodyText"/>
      </w:pPr>
      <w:r>
        <w:t xml:space="preserve">Bradbury, P. J., Zhang, Z., Kroon, D. E., Casstevens, T. M., Ramdoss, Y., &amp; Buckler, E. S. (2007). TASSEL: Software for association mapping of complex traits in diverse samples.</w:t>
      </w:r>
      <w:r>
        <w:t xml:space="preserve"> </w:t>
      </w:r>
      <w:r>
        <w:rPr>
          <w:i/>
          <w:iCs/>
        </w:rPr>
        <w:t xml:space="preserve">Bioinformatics</w:t>
      </w:r>
      <w:r>
        <w:t xml:space="preserve">, 23(19), 2633-2635. https://doi.org/10.1093/bioinformatics/btm308</w:t>
      </w:r>
    </w:p>
    <w:p>
      <w:pPr>
        <w:pStyle w:val="BodyText"/>
      </w:pPr>
      <w:r>
        <w:t xml:space="preserve">Cingolani, P., Platts, A., Wang, L. L., Coon, M., Nguyen, T., Wang, L., … &amp; Ruden, D. M. (2012). A program for annotating and predicting the effects of single nucleotide polymorphisms, SnpEff: SNPs in the genome of Drosophila melanogaster strain w1118; iso-2; iso-3.</w:t>
      </w:r>
      <w:r>
        <w:t xml:space="preserve"> </w:t>
      </w:r>
      <w:r>
        <w:rPr>
          <w:i/>
          <w:iCs/>
        </w:rPr>
        <w:t xml:space="preserve">Fly</w:t>
      </w:r>
      <w:r>
        <w:t xml:space="preserve">, 6(2), 80-92. https://doi.org/10.4161/fly.19695</w:t>
      </w:r>
    </w:p>
    <w:p>
      <w:pPr>
        <w:pStyle w:val="BodyText"/>
      </w:pPr>
      <w:r>
        <w:t xml:space="preserve">Clark, L. V., Lipka, A. E., &amp; Sacks, E. J. (2019). polyRAD: Genotype calling with uncertainty from sequencing data in polyploids and diploids.</w:t>
      </w:r>
      <w:r>
        <w:t xml:space="preserve"> </w:t>
      </w:r>
      <w:r>
        <w:rPr>
          <w:i/>
          <w:iCs/>
        </w:rPr>
        <w:t xml:space="preserve">G3: Genes, Genomes, Genetics</w:t>
      </w:r>
      <w:r>
        <w:t xml:space="preserve">, 9(3), 663-673. https://doi.org/10.1534/g3.118.200913</w:t>
      </w:r>
    </w:p>
    <w:p>
      <w:pPr>
        <w:pStyle w:val="BodyText"/>
      </w:pPr>
      <w:r>
        <w:t xml:space="preserve">Danecek, P., Auton, A., Abecasis, G., Albers, C. A., Banks, E., DePristo, M. A., … &amp; 1000 Genomes Project Analysis Group. (2011). The variant call format and VCFtools.</w:t>
      </w:r>
      <w:r>
        <w:t xml:space="preserve"> </w:t>
      </w:r>
      <w:r>
        <w:rPr>
          <w:i/>
          <w:iCs/>
        </w:rPr>
        <w:t xml:space="preserve">Bioinformatics</w:t>
      </w:r>
      <w:r>
        <w:t xml:space="preserve">, 27(15), 2156-2158. https://doi.org/10.1093/bioinformatics/btr330</w:t>
      </w:r>
    </w:p>
    <w:p>
      <w:pPr>
        <w:pStyle w:val="BodyText"/>
      </w:pPr>
      <w:r>
        <w:t xml:space="preserve">Danecek, P., Bonfield, J. K., Liddle, J., Marshall, J., Ohan, V., Pollard, M. O., … &amp; Li, H. (2021). Twelve years of SAMtools and BCFtools.</w:t>
      </w:r>
      <w:r>
        <w:t xml:space="preserve"> </w:t>
      </w:r>
      <w:r>
        <w:rPr>
          <w:i/>
          <w:iCs/>
        </w:rPr>
        <w:t xml:space="preserve">GigaScience</w:t>
      </w:r>
      <w:r>
        <w:t xml:space="preserve">, 10(2), giab008. https://doi.org/10.1093/gigascience/giab008</w:t>
      </w:r>
    </w:p>
    <w:p>
      <w:pPr>
        <w:pStyle w:val="BodyText"/>
      </w:pPr>
      <w:r>
        <w:t xml:space="preserve">Duitama, J., Quintero, J. C., Cruz, D. F., Quintero, C., Hubmann, G., Jamai, M., … &amp; Tohme, J. (2014). An integrative framework for discovery and genotyping of single nucleotide polymorphisms from high-throughput sequencing data.</w:t>
      </w:r>
      <w:r>
        <w:t xml:space="preserve"> </w:t>
      </w:r>
      <w:r>
        <w:rPr>
          <w:i/>
          <w:iCs/>
        </w:rPr>
        <w:t xml:space="preserve">BMC Genomics</w:t>
      </w:r>
      <w:r>
        <w:t xml:space="preserve">, 15(1), 1-14. https://doi.org/10.1186/1471-2164-15-82</w:t>
      </w:r>
    </w:p>
    <w:p>
      <w:pPr>
        <w:pStyle w:val="BodyText"/>
      </w:pPr>
      <w:r>
        <w:t xml:space="preserve">Kumar, S., Stecher, G., Li, M., Knyaz, C., &amp; Tamura, K. (2018). MEGA X: Molecular Evolutionary Genetics Analysis across computing platforms.</w:t>
      </w:r>
      <w:r>
        <w:t xml:space="preserve"> </w:t>
      </w:r>
      <w:r>
        <w:rPr>
          <w:i/>
          <w:iCs/>
        </w:rPr>
        <w:t xml:space="preserve">Molecular Biology and Evolution</w:t>
      </w:r>
      <w:r>
        <w:t xml:space="preserve">, 35(6), 1547-1549. https://doi.org/10.1093/molbev/msy096</w:t>
      </w:r>
    </w:p>
    <w:p>
      <w:pPr>
        <w:pStyle w:val="BodyText"/>
      </w:pPr>
      <w:r>
        <w:t xml:space="preserve">Lefort, V., Desper, R., &amp; Gascuel, O. (2015). FastME 2.0: A comprehensive, accurate, and fast distance-based phylogeny reconstruction program.</w:t>
      </w:r>
      <w:r>
        <w:t xml:space="preserve"> </w:t>
      </w:r>
      <w:r>
        <w:rPr>
          <w:i/>
          <w:iCs/>
        </w:rPr>
        <w:t xml:space="preserve">Molecular Biology and Evolution</w:t>
      </w:r>
      <w:r>
        <w:t xml:space="preserve">, 32(10), 2798-2800. https://doi.org/10.1093/molbev/msv150</w:t>
      </w:r>
    </w:p>
    <w:p>
      <w:pPr>
        <w:pStyle w:val="BodyText"/>
      </w:pPr>
      <w:r>
        <w:t xml:space="preserve">Lyons, E., Pedersen, B., Kane, J., Alam, M., Ming, R., Tang, H., … &amp; Freeling, M. (2008). Finding and comparing syntenic regions among Arabidopsis and the outgroups papaya, poplar, and grape: CoGe with rosids.</w:t>
      </w:r>
      <w:r>
        <w:t xml:space="preserve"> </w:t>
      </w:r>
      <w:r>
        <w:rPr>
          <w:i/>
          <w:iCs/>
        </w:rPr>
        <w:t xml:space="preserve">Plant Physiology</w:t>
      </w:r>
      <w:r>
        <w:t xml:space="preserve">, 148(4), 1772-1781. https://doi.org/10.1104/pp.108.124867</w:t>
      </w:r>
    </w:p>
    <w:p>
      <w:pPr>
        <w:pStyle w:val="BodyText"/>
      </w:pPr>
      <w:r>
        <w:t xml:space="preserve">McKenna, A., Hanna, M., Banks, E., Sivachenko, A., Cibulskis, K., Kernytsky, A., … &amp; DePristo, M. A. (2010). The Genome Analysis Toolkit: A MapReduce framework for analyzing next-generation DNA sequencing data.</w:t>
      </w:r>
      <w:r>
        <w:t xml:space="preserve"> </w:t>
      </w:r>
      <w:r>
        <w:rPr>
          <w:i/>
          <w:iCs/>
        </w:rPr>
        <w:t xml:space="preserve">Genome Research</w:t>
      </w:r>
      <w:r>
        <w:t xml:space="preserve">, 20(9), 1297-1303. https://doi.org/10.1101/gr.107524.110</w:t>
      </w:r>
    </w:p>
    <w:p>
      <w:pPr>
        <w:pStyle w:val="BodyText"/>
      </w:pPr>
      <w:r>
        <w:t xml:space="preserve">McLaren, W., Gil, L., Hunt, S. E., Riat, H. S., Ritchie, G. R., Thormann, A., … &amp; Flicek, P. (2016). The Ensembl Variant Effect Predictor.</w:t>
      </w:r>
      <w:r>
        <w:t xml:space="preserve"> </w:t>
      </w:r>
      <w:r>
        <w:rPr>
          <w:i/>
          <w:iCs/>
        </w:rPr>
        <w:t xml:space="preserve">Genome Biology</w:t>
      </w:r>
      <w:r>
        <w:t xml:space="preserve">, 17(1), 1-14. https://doi.org/10.1186/s13059-016-0974-4</w:t>
      </w:r>
    </w:p>
    <w:p>
      <w:pPr>
        <w:pStyle w:val="BodyText"/>
      </w:pPr>
      <w:r>
        <w:t xml:space="preserve">Rosyara, U. R., De Jong, W. S., Douches, D. S., &amp; Endelman, J. B. (2016). Software for genome-wide association studies in autopolyploids and its application to potato.</w:t>
      </w:r>
      <w:r>
        <w:t xml:space="preserve"> </w:t>
      </w:r>
      <w:r>
        <w:rPr>
          <w:i/>
          <w:iCs/>
        </w:rPr>
        <w:t xml:space="preserve">The Plant Genome</w:t>
      </w:r>
      <w:r>
        <w:t xml:space="preserve">, 9(2), 1-10. https://doi.org/10.3835/plantgenome2015.08.0073</w:t>
      </w:r>
    </w:p>
    <w:p>
      <w:pPr>
        <w:pStyle w:val="BodyText"/>
      </w:pPr>
      <w:r>
        <w:t xml:space="preserve">Wang, J., &amp; Zhang, Z. (2021). GAPIT Version 3: Boosting power and accuracy for genomic association and prediction.</w:t>
      </w:r>
      <w:r>
        <w:t xml:space="preserve"> </w:t>
      </w:r>
      <w:r>
        <w:rPr>
          <w:i/>
          <w:iCs/>
        </w:rPr>
        <w:t xml:space="preserve">Genomics, Proteomics &amp; Bioinformatics</w:t>
      </w:r>
      <w:r>
        <w:t xml:space="preserve">, 19(4), 629-640. https://doi.org/10.1016/j.gpb.2021.08.005</w:t>
      </w:r>
    </w:p>
    <w:p>
      <w:pPr>
        <w:pStyle w:val="BodyText"/>
      </w:pPr>
      <w:r>
        <w:t xml:space="preserve">Wang, Y., Tang, H., DeBarry, J. D., Tan, X., Li, J., Wang, X., … &amp; Paterson, A. H. (2012). MCScanX: A toolkit for detection and evolutionary analysis of gene synteny and collinearity.</w:t>
      </w:r>
      <w:r>
        <w:t xml:space="preserve"> </w:t>
      </w:r>
      <w:r>
        <w:rPr>
          <w:i/>
          <w:iCs/>
        </w:rPr>
        <w:t xml:space="preserve">Nucleic Acids Research</w:t>
      </w:r>
      <w:r>
        <w:t xml:space="preserve">, 40(7), e49. https://doi.org/10.1093/nar/gkr1293</w:t>
      </w:r>
    </w:p>
    <w:p>
      <w:pPr>
        <w:pStyle w:val="BodyText"/>
      </w:pPr>
      <w:r>
        <w:t xml:space="preserve">Zhang, C., Dong, S. S., Xu, J. Y., He, W. M., &amp; Yang, T. L. (2019). PopLDdecay: A fast and effective tool for linkage disequilibrium decay analysis based on variant call format files.</w:t>
      </w:r>
      <w:r>
        <w:t xml:space="preserve"> </w:t>
      </w:r>
      <w:r>
        <w:rPr>
          <w:i/>
          <w:iCs/>
        </w:rPr>
        <w:t xml:space="preserve">Bioinformatics</w:t>
      </w:r>
      <w:r>
        <w:t xml:space="preserve">, 35(10), 1786-1788. https://doi.org/10.1093/bioinformatics/bty875</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2026-05-06T13:42:15Z</dcterms:created>
  <dcterms:modified xsi:type="dcterms:W3CDTF">2026-05-06T13:42:15Z</dcterms:modified>
</cp:coreProperties>
</file>

<file path=docProps/custom.xml><?xml version="1.0" encoding="utf-8"?>
<Properties xmlns="http://schemas.openxmlformats.org/officeDocument/2006/custom-properties" xmlns:vt="http://schemas.openxmlformats.org/officeDocument/2006/docPropsVTypes"/>
</file>