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5ed4802926c8cfff190af74f1b116c38628668e"/>
    <w:p>
      <w:pPr>
        <w:pStyle w:val="Heading1"/>
      </w:pPr>
      <w:r>
        <w:t xml:space="preserve">INFORME DE RESULTADOS DE LA PLATAFORMA BIOJAVA</w:t>
      </w:r>
    </w:p>
    <w:p>
      <w:pPr>
        <w:pStyle w:val="FirstParagraph"/>
      </w:pPr>
      <w:r>
        <w:t xml:space="preserve">Este informe detalla los resultados experimentales, tiempos de ejecución y análisis visuales obtenidos para cada uno de los trece módulos que integran la plataforma</w:t>
      </w:r>
      <w:r>
        <w:t xml:space="preserve"> </w:t>
      </w:r>
      <w:r>
        <w:rPr>
          <w:b/>
          <w:bCs/>
        </w:rPr>
        <w:t xml:space="preserve">BioJava</w:t>
      </w:r>
      <w:r>
        <w:t xml:space="preserve"> </w:t>
      </w:r>
      <w:r>
        <w:t xml:space="preserve">(</w:t>
      </w:r>
      <w:r>
        <w:rPr>
          <w:i/>
          <w:iCs/>
        </w:rPr>
        <w:t xml:space="preserve">BioCenicana Bioinformatics Toolkit</w:t>
      </w:r>
      <w:r>
        <w:t xml:space="preserve">). Los análisis de genómica poblacional y filogenómica se ejecutaron empleando el conjunto de datos de caña de azúcar (</w:t>
      </w:r>
      <w:r>
        <w:rPr>
          <w:i/>
          <w:iCs/>
        </w:rPr>
        <w:t xml:space="preserve">Saccharum</w:t>
      </w:r>
      <w:r>
        <w:t xml:space="preserve"> </w:t>
      </w:r>
      <w:r>
        <w:t xml:space="preserve">spp.) correspondiente a la población de mapeo</w:t>
      </w:r>
      <w:r>
        <w:t xml:space="preserve"> </w:t>
      </w:r>
      <w:r>
        <w:rPr>
          <w:b/>
          <w:bCs/>
        </w:rPr>
        <w:t xml:space="preserve">CC-01-1940</w:t>
      </w:r>
      <w:r>
        <w:t xml:space="preserve"> </w:t>
      </w:r>
      <w:r>
        <w:t xml:space="preserve">(220 accesiones y 50,728 variantes iniciales) y las anotaciones genómicas de</w:t>
      </w:r>
      <w:r>
        <w:t xml:space="preserve"> </w:t>
      </w:r>
      <w:r>
        <w:rPr>
          <w:b/>
          <w:bCs/>
        </w:rPr>
        <w:t xml:space="preserve">CC-01-1940</w:t>
      </w:r>
      <w:r>
        <w:t xml:space="preserve"> </w:t>
      </w:r>
      <w:r>
        <w:t xml:space="preserve">y</w:t>
      </w:r>
      <w:r>
        <w:t xml:space="preserve"> </w:t>
      </w:r>
      <w:r>
        <w:rPr>
          <w:b/>
          <w:bCs/>
        </w:rPr>
        <w:t xml:space="preserve">R570</w:t>
      </w:r>
      <w:r>
        <w:t xml:space="preserve"> </w:t>
      </w:r>
      <w:r>
        <w:t xml:space="preserve">cuando fue requerido. Los análisis de asociación se realizaron empleando el conjunto de datos estándar de papa tetraploide (</w:t>
      </w:r>
      <w:r>
        <w:rPr>
          <w:i/>
          <w:iCs/>
        </w:rPr>
        <w:t xml:space="preserve">Solanum tuberosum</w:t>
      </w:r>
      <w:r>
        <w:t xml:space="preserve">) bajo los modelos de acción génica de</w:t>
      </w:r>
      <w:r>
        <w:t xml:space="preserve"> </w:t>
      </w:r>
      <w:r>
        <w:rPr>
          <w:i/>
          <w:iCs/>
        </w:rPr>
        <w:t xml:space="preserve">GWASpoly</w:t>
      </w:r>
      <w:r>
        <w:t xml:space="preserve">. Todos los benchs se ejecutaron en un servidor local con procesador Apple M1 (8 núcleos, 16 GB de RAM) para asegurar comparabilidad de tiempos.</w:t>
      </w:r>
    </w:p>
    <w:p>
      <w:r>
        <w:pict>
          <v:rect style="width:0;height:1.5pt" o:hralign="center" o:hrstd="t" o:hr="t"/>
        </w:pict>
      </w:r>
    </w:p>
    <w:bookmarkStart w:id="9" w:name="diagnóstico-de-variantes-vcf-stats"/>
    <w:p>
      <w:pPr>
        <w:pStyle w:val="Heading3"/>
      </w:pPr>
      <w:r>
        <w:t xml:space="preserve">1. Diagnóstico de Variantes (</w:t>
      </w:r>
      <w:r>
        <w:rPr>
          <w:rStyle w:val="VerbatimChar"/>
        </w:rPr>
        <w:t xml:space="preserve">vcf-stats</w:t>
      </w:r>
      <w:r>
        <w:t xml:space="preserve">)</w:t>
      </w:r>
    </w:p>
    <w:p>
      <w:pPr>
        <w:pStyle w:val="FirstParagraph"/>
      </w:pPr>
      <w:r>
        <w:t xml:space="preserve">El perfilamiento estadístico descriptivo del archivo VCF crudo de la población CC-01-1940 se completó en un tiempo récord de</w:t>
      </w:r>
      <w:r>
        <w:t xml:space="preserve"> </w:t>
      </w:r>
      <w:r>
        <w:rPr>
          <w:b/>
          <w:bCs/>
        </w:rPr>
        <w:t xml:space="preserve">2.37 segundos</w:t>
      </w:r>
      <w:r>
        <w:t xml:space="preserve">, superando en 7.1x la velocidad de procesamiento de herramientas estándar como NGSEP (17.02 s). Los resultados numéricos revelaron una coincidencia matemática absoluta del 100% en las métricas de control (50,728 variantes totales, con 32,535 transiciones y 18,193 transversiones, resultando en un ratio Ts/Tv de 1.788). El módulo consolida estas métricas en un cuadro de mando HTML interactivo que despliega gráficos dinámicos de distribución de frecuencias del alelo menor (MAF), perfiles de cobertura por muestra y curvas de densidad de datos faltantes, sirviendo como línea base diagnóstica para orientar los umbrales de filtrado.</w:t>
      </w:r>
    </w:p>
    <w:bookmarkEnd w:id="9"/>
    <w:bookmarkStart w:id="10" w:name="control-de-calidad-y-filtrado-vcf-filter"/>
    <w:p>
      <w:pPr>
        <w:pStyle w:val="Heading3"/>
      </w:pPr>
      <w:r>
        <w:t xml:space="preserve">2. Control de Calidad y Filtrado (</w:t>
      </w:r>
      <w:r>
        <w:rPr>
          <w:rStyle w:val="VerbatimChar"/>
        </w:rPr>
        <w:t xml:space="preserve">vcf-filter</w:t>
      </w:r>
      <w:r>
        <w:t xml:space="preserve">)</w:t>
      </w:r>
    </w:p>
    <w:p>
      <w:pPr>
        <w:pStyle w:val="FirstParagraph"/>
      </w:pPr>
      <w:r>
        <w:t xml:space="preserve">Al aplicar criterios rigurosos de depuración sobre la población CC-01-1940 (MAF ≥ 0.05, datos faltantes ≤ 20%, profundidad mínima de lectura ≥ 20X, y filtro de dosis</w:t>
      </w:r>
      <w:r>
        <w:t xml:space="preserve"> </w:t>
      </w:r>
      <w:r>
        <w:rPr>
          <w:rStyle w:val="VerbatimChar"/>
        </w:rPr>
        <w:t xml:space="preserve">--top-n</w:t>
      </w:r>
      <w:r>
        <w:t xml:space="preserve">), el motor de transmisión en paralelo de BioJava completó la depuración y exportación del archivo filtrado en solo</w:t>
      </w:r>
      <w:r>
        <w:t xml:space="preserve"> </w:t>
      </w:r>
      <w:r>
        <w:rPr>
          <w:b/>
          <w:bCs/>
        </w:rPr>
        <w:t xml:space="preserve">1.85 segundos</w:t>
      </w:r>
      <w:r>
        <w:t xml:space="preserve">, lo que representa una aceleración masiva de 65.9x frente a los 121.97 s de NGSEP. Ambas herramientas retuvieron exactamente las mismas 7,443 variantes de alta calidad, garantizando una paridad analítica del 100%. La salida de este módulo incluye un panel visual HTML con histogramas interactivos de</w:t>
      </w:r>
      <w:r>
        <w:t xml:space="preserve"> </w:t>
      </w:r>
      <w:r>
        <w:t xml:space="preserve">“antes y después”</w:t>
      </w:r>
      <w:r>
        <w:t xml:space="preserve"> </w:t>
      </w:r>
      <w:r>
        <w:t xml:space="preserve">de la cobertura y gráficos de violín que permiten contrastar la distribución final de calidad por cromosoma y por accesión individual.</w:t>
      </w:r>
    </w:p>
    <w:bookmarkEnd w:id="10"/>
    <w:bookmarkStart w:id="11" w:name="estructura-de-poblaciones-pop-structure"/>
    <w:p>
      <w:pPr>
        <w:pStyle w:val="Heading3"/>
      </w:pPr>
      <w:r>
        <w:t xml:space="preserve">3. Estructura de Poblaciones (</w:t>
      </w:r>
      <w:r>
        <w:rPr>
          <w:rStyle w:val="VerbatimChar"/>
        </w:rPr>
        <w:t xml:space="preserve">pop-structure</w:t>
      </w:r>
      <w:r>
        <w:t xml:space="preserve">)</w:t>
      </w:r>
    </w:p>
    <w:p>
      <w:pPr>
        <w:pStyle w:val="FirstParagraph"/>
      </w:pPr>
      <w:r>
        <w:t xml:space="preserve">El análisis completo de la estructura poblacional del panel CC-01-1940 se ejecutó en</w:t>
      </w:r>
      <w:r>
        <w:t xml:space="preserve"> </w:t>
      </w:r>
      <w:r>
        <w:rPr>
          <w:b/>
          <w:bCs/>
        </w:rPr>
        <w:t xml:space="preserve">11.04 segundos</w:t>
      </w:r>
      <w:r>
        <w:t xml:space="preserve">, integrando la reducción de dimensionalidad (SVD/PCA), el agrupamiento no supervisado, el cálculo de proporciones de ancestría (</w:t>
      </w:r>
      <w:r>
        <w:rPr>
          <w:i/>
          <w:iCs/>
        </w:rPr>
        <w:t xml:space="preserve">admixture</w:t>
      </w:r>
      <w:r>
        <w:t xml:space="preserve">) y la matriz Kinship. Los resultados estadísticos determinaron de manera óptima</w:t>
      </w:r>
      <w:r>
        <w:t xml:space="preserve"> </w:t>
      </w:r>
      <m:oMath>
        <m:r>
          <m:t>K</m:t>
        </m:r>
        <m:r>
          <m:rPr>
            <m:sty m:val="p"/>
          </m:rPr>
          <m:t>=</m:t>
        </m:r>
        <m:r>
          <m:t>3</m:t>
        </m:r>
      </m:oMath>
      <w:r>
        <w:t xml:space="preserve"> </w:t>
      </w:r>
      <w:r>
        <w:t xml:space="preserve">subpoblaciones mediante el método del codo y el análisis de varianza explicada (</w:t>
      </w:r>
      <w:r>
        <w:rPr>
          <w:i/>
          <w:iCs/>
        </w:rPr>
        <w:t xml:space="preserve">Scree Plot</w:t>
      </w:r>
      <w:r>
        <w:t xml:space="preserve">). El visor HTML interactivo autogenerado permite al usuario rotar en un entorno tridimensional interactivo la nube de puntos de accesiones en el espacio PC1-PC2-PC3, visualizar la matriz térmica de parentesco de VanRaden (</w:t>
      </w:r>
      <w:r>
        <w:rPr>
          <w:i/>
          <w:iCs/>
        </w:rPr>
        <w:t xml:space="preserve">Kinship</w:t>
      </w:r>
      <w:r>
        <w:t xml:space="preserve">) de alta resolución, y examinar barras individuales de ancestría que cuantifican las introgresiones híbridas interespecíficas.</w:t>
      </w:r>
    </w:p>
    <w:bookmarkEnd w:id="11"/>
    <w:bookmarkStart w:id="12" w:name="cálculo-de-dosis-alélicas-allele-dosage"/>
    <w:p>
      <w:pPr>
        <w:pStyle w:val="Heading3"/>
      </w:pPr>
      <w:r>
        <w:t xml:space="preserve">4. Cálculo de dosis alélicas (</w:t>
      </w:r>
      <w:r>
        <w:rPr>
          <w:rStyle w:val="VerbatimChar"/>
        </w:rPr>
        <w:t xml:space="preserve">allele-dosage</w:t>
      </w:r>
      <w:r>
        <w:t xml:space="preserve">)</w:t>
      </w:r>
    </w:p>
    <w:p>
      <w:pPr>
        <w:pStyle w:val="FirstParagraph"/>
      </w:pPr>
      <w:r>
        <w:t xml:space="preserve">Este módulo leyó de forma secuencial el archivo VCF filtrado de la población CC-01-1940 para estimar la dosis matemática esperada continua (espectro probabilístico entre 0.0 y 10.0 para un nivel de ploidía decaploide) en un tiempo de ejecución de</w:t>
      </w:r>
      <w:r>
        <w:t xml:space="preserve"> </w:t>
      </w:r>
      <w:r>
        <w:rPr>
          <w:b/>
          <w:bCs/>
        </w:rPr>
        <w:t xml:space="preserve">1.25 segundos</w:t>
      </w:r>
      <w:r>
        <w:t xml:space="preserve">. El resultado consolidado se exportó directamente a un archivo tabular delimitado por tabulaciones (</w:t>
      </w:r>
      <w:r>
        <w:rPr>
          <w:rStyle w:val="VerbatimChar"/>
        </w:rPr>
        <w:t xml:space="preserve">dosis_raw.tsv</w:t>
      </w:r>
      <w:r>
        <w:t xml:space="preserve">) de alto rendimiento listo para análisis genéticos avanzados de herencia polisómica. La salida HTML interactiva despliega curvas de densidad de probabilidad para los estados de dosis estimadas y diagramas de calor que mapean las proporciones de alelos alternativos detectados por muestra.</w:t>
      </w:r>
    </w:p>
    <w:bookmarkEnd w:id="12"/>
    <w:bookmarkStart w:id="13" w:name="distancia-genética-genetic-distance"/>
    <w:p>
      <w:pPr>
        <w:pStyle w:val="Heading3"/>
      </w:pPr>
      <w:r>
        <w:t xml:space="preserve">5. Distancia Genética (</w:t>
      </w:r>
      <w:r>
        <w:rPr>
          <w:rStyle w:val="VerbatimChar"/>
        </w:rPr>
        <w:t xml:space="preserve">genetic-distance</w:t>
      </w:r>
      <w:r>
        <w:t xml:space="preserve">)</w:t>
      </w:r>
    </w:p>
    <w:p>
      <w:pPr>
        <w:pStyle w:val="FirstParagraph"/>
      </w:pPr>
      <w:r>
        <w:t xml:space="preserve">Utilizando los perfiles continuos calculados de dosis alélicas de la población decaploide CC-01-1940, el módulo estimó la matriz de distancia genética euclidiana por pares en</w:t>
      </w:r>
      <w:r>
        <w:t xml:space="preserve"> </w:t>
      </w:r>
      <w:r>
        <w:rPr>
          <w:b/>
          <w:bCs/>
        </w:rPr>
        <w:t xml:space="preserve">2.15 segundos</w:t>
      </w:r>
      <w:r>
        <w:t xml:space="preserve">, compensando automáticamente la pérdida de información por datos faltantes mediante ponderaciones probabilísticas de verosimilitud. La matriz resultante fue guardada en el archivo</w:t>
      </w:r>
      <w:r>
        <w:t xml:space="preserve"> </w:t>
      </w:r>
      <w:r>
        <w:rPr>
          <w:rStyle w:val="VerbatimChar"/>
        </w:rPr>
        <w:t xml:space="preserve">matriz_distancia.tsv</w:t>
      </w:r>
      <w:r>
        <w:t xml:space="preserve">. El visor HTML asociado renderiza un mapa térmico interactivo bidimensional con agrupamiento jerárquico (</w:t>
      </w:r>
      <w:r>
        <w:rPr>
          <w:i/>
          <w:iCs/>
        </w:rPr>
        <w:t xml:space="preserve">Clustered Heatmap</w:t>
      </w:r>
      <w:r>
        <w:t xml:space="preserve">) donde el usuario puede pasar el cursor para consultar de forma instantánea las distancias matemáticas precisas entre cualquier combinación de accesiones parentales.</w:t>
      </w:r>
    </w:p>
    <w:bookmarkEnd w:id="13"/>
    <w:bookmarkStart w:id="14" w:name="explorador-de-marcadores-snp-explorer"/>
    <w:p>
      <w:pPr>
        <w:pStyle w:val="Heading3"/>
      </w:pPr>
      <w:r>
        <w:t xml:space="preserve">6. Explorador de marcadores (</w:t>
      </w:r>
      <w:r>
        <w:rPr>
          <w:rStyle w:val="VerbatimChar"/>
        </w:rPr>
        <w:t xml:space="preserve">snp-explorer</w:t>
      </w:r>
      <w:r>
        <w:t xml:space="preserve">)</w:t>
      </w:r>
    </w:p>
    <w:p>
      <w:pPr>
        <w:pStyle w:val="FirstParagraph"/>
      </w:pPr>
      <w:r>
        <w:t xml:space="preserve">El explorador interactivo procesó la matriz VCF filtrada y las coordenadas del PCA de la población CC-01-1940 en</w:t>
      </w:r>
      <w:r>
        <w:t xml:space="preserve"> </w:t>
      </w:r>
      <w:r>
        <w:rPr>
          <w:b/>
          <w:bCs/>
        </w:rPr>
        <w:t xml:space="preserve">0.85 segundos</w:t>
      </w:r>
      <w:r>
        <w:t xml:space="preserve">, filtrando de manera instantánea un subconjunto de variantes críticas provistas en un archivo de texto plano. El visor HTML dinámico autogenerado despliega diagramas de profundidad de lectura alélica (AD-plots) interactivos y cruzados con la clasificación de clústeres poblacionales. Esto permite a los genetistas auditar visualmente llamadas de genotipos individuales, identificando posibles sesgos de amplificación alélica o variantes dudosas en loci de interés agronómico de manera intuitiva y sin salir del navegador.</w:t>
      </w:r>
    </w:p>
    <w:bookmarkEnd w:id="14"/>
    <w:bookmarkStart w:id="15" w:name="desequilibrio-de-ligamiento-ld"/>
    <w:p>
      <w:pPr>
        <w:pStyle w:val="Heading3"/>
      </w:pPr>
      <w:r>
        <w:t xml:space="preserve">7. Desequilibrio de Ligamiento (</w:t>
      </w:r>
      <w:r>
        <w:rPr>
          <w:rStyle w:val="VerbatimChar"/>
        </w:rPr>
        <w:t xml:space="preserve">ld</w:t>
      </w:r>
      <w:r>
        <w:t xml:space="preserve">)</w:t>
      </w:r>
    </w:p>
    <w:p>
      <w:pPr>
        <w:pStyle w:val="FirstParagraph"/>
      </w:pPr>
      <w:r>
        <w:t xml:space="preserve">El cálculo del decaimiento de la correlación alélica (</w:t>
      </w:r>
      <m:oMath>
        <m:sSup>
          <m:e>
            <m:r>
              <m:t>r</m:t>
            </m:r>
          </m:e>
          <m:sup>
            <m:r>
              <m:t>2</m:t>
            </m:r>
          </m:sup>
        </m:sSup>
      </m:oMath>
      <w:r>
        <w:t xml:space="preserve">) sobre el genoma decaploide de CC-01-1940 tomó</w:t>
      </w:r>
      <w:r>
        <w:t xml:space="preserve"> </w:t>
      </w:r>
      <w:r>
        <w:rPr>
          <w:b/>
          <w:bCs/>
        </w:rPr>
        <w:t xml:space="preserve">1.12 segundos</w:t>
      </w:r>
      <w:r>
        <w:t xml:space="preserve"> </w:t>
      </w:r>
      <w:r>
        <w:t xml:space="preserve">utilizando una ventana deslizante de 200 kb. Los resultados revelaron un decaimiento sumamente rápido de la correlación a la mitad de su valor inicial (</w:t>
      </w:r>
      <w:r>
        <w:rPr>
          <w:i/>
          <w:iCs/>
        </w:rPr>
        <w:t xml:space="preserve">half-decay</w:t>
      </w:r>
      <w:r>
        <w:t xml:space="preserve">) ocurriendo aproximadamente a los 1,000 pares de bases (pb), reflejando la alta tasa de recombinación recombinante de la caña de azúcar comercial, en contraste con las estimaciones sobreestimadas y sesgadas generadas por PopLDdecay (~6,000 pb) debido a la diploidización forzada de genotipos. El módulo genera un visor HTML con la curva de decaimiento interactiva equipada con barras de error y una cuadrícula térmica interactiva de desequilibrio por pares de SNPs.</w:t>
      </w:r>
    </w:p>
    <w:bookmarkEnd w:id="15"/>
    <w:bookmarkStart w:id="16" w:name="X3ee24de09908d3944ccaaba1a8040192e422b7b"/>
    <w:p>
      <w:pPr>
        <w:pStyle w:val="Heading3"/>
      </w:pPr>
      <w:r>
        <w:t xml:space="preserve">8. Unión de archivos de variantes VCFs (</w:t>
      </w:r>
      <w:r>
        <w:rPr>
          <w:rStyle w:val="VerbatimChar"/>
        </w:rPr>
        <w:t xml:space="preserve">vcf-merge</w:t>
      </w:r>
      <w:r>
        <w:t xml:space="preserve">)</w:t>
      </w:r>
    </w:p>
    <w:p>
      <w:pPr>
        <w:pStyle w:val="FirstParagraph"/>
      </w:pPr>
      <w:r>
        <w:t xml:space="preserve">La integración y consolidación de tres lotes genómicos de variantes correspondientes a diferentes ejecuciones de secuenciación de la caña de azúcar CC-01-1940 se completó en</w:t>
      </w:r>
      <w:r>
        <w:t xml:space="preserve"> </w:t>
      </w:r>
      <w:r>
        <w:rPr>
          <w:b/>
          <w:bCs/>
        </w:rPr>
        <w:t xml:space="preserve">1.45 segundos</w:t>
      </w:r>
      <w:r>
        <w:t xml:space="preserve"> </w:t>
      </w:r>
      <w:r>
        <w:t xml:space="preserve">de manera secuencial y eficiente en memoria. El módulo unificó lógicamente las muestras, imputando automáticamente estados probabilísticos de datos faltantes para individuos ausentes en lotes específicos para salvaguardar la robustez estadística. El visor HTML de salida renderiza mapas de solapamiento de muestras y diagramas de Venn interactivos que cuantifican el porcentaje de variantes compartidas y exclusivas por cada lote unificado.</w:t>
      </w:r>
    </w:p>
    <w:bookmarkEnd w:id="16"/>
    <w:bookmarkStart w:id="17" w:name="Xb9c0d71e2bcd046d384912b598732e267c15c5a"/>
    <w:p>
      <w:pPr>
        <w:pStyle w:val="Heading3"/>
      </w:pPr>
      <w:r>
        <w:t xml:space="preserve">9. Exportación a GWASpoly y JoinMap (</w:t>
      </w:r>
      <w:r>
        <w:rPr>
          <w:rStyle w:val="VerbatimChar"/>
        </w:rPr>
        <w:t xml:space="preserve">gwaspoly-export</w:t>
      </w:r>
      <w:r>
        <w:t xml:space="preserve"> </w:t>
      </w:r>
      <w:r>
        <w:t xml:space="preserve">/</w:t>
      </w:r>
      <w:r>
        <w:t xml:space="preserve"> </w:t>
      </w:r>
      <w:r>
        <w:rPr>
          <w:rStyle w:val="VerbatimChar"/>
        </w:rPr>
        <w:t xml:space="preserve">joinmap</w:t>
      </w:r>
      <w:r>
        <w:t xml:space="preserve">)</w:t>
      </w:r>
    </w:p>
    <w:p>
      <w:pPr>
        <w:pStyle w:val="FirstParagraph"/>
      </w:pPr>
      <w:r>
        <w:t xml:space="preserve">La conversión y exportación de la matriz genotípica filtrada de CC-01-1940 a los formatos específicos requeridos por las plataformas estándar de mapeo tomó</w:t>
      </w:r>
      <w:r>
        <w:t xml:space="preserve"> </w:t>
      </w:r>
      <w:r>
        <w:rPr>
          <w:b/>
          <w:bCs/>
        </w:rPr>
        <w:t xml:space="preserve">0.95 segundos</w:t>
      </w:r>
      <w:r>
        <w:t xml:space="preserve"> </w:t>
      </w:r>
      <w:r>
        <w:t xml:space="preserve">(procesamiento para GWASpoly en formato CSV, y JoinMap en formato de matriz de segregación LOC). El algoritmo identificó y corrigió automáticamente errores estructurales y distorsiones de segregación gamética mediante la bandera</w:t>
      </w:r>
      <w:r>
        <w:t xml:space="preserve"> </w:t>
      </w:r>
      <w:r>
        <w:rPr>
          <w:rStyle w:val="VerbatimChar"/>
        </w:rPr>
        <w:t xml:space="preserve">--fix</w:t>
      </w:r>
      <w:r>
        <w:t xml:space="preserve">. El visor HTML asociado proporciona reportes de calidad sobre las tasas de conversión y diagramas térmicos de frecuencia alélica que certifican la integridad estructural de los datos exportados antes de su carga en software externos.</w:t>
      </w:r>
    </w:p>
    <w:bookmarkEnd w:id="17"/>
    <w:bookmarkStart w:id="18" w:name="genómica-comparativa-comp-gen-kaks-calc"/>
    <w:p>
      <w:pPr>
        <w:pStyle w:val="Heading3"/>
      </w:pPr>
      <w:r>
        <w:t xml:space="preserve">10. Genómica comparativa (</w:t>
      </w:r>
      <w:r>
        <w:rPr>
          <w:rStyle w:val="VerbatimChar"/>
        </w:rPr>
        <w:t xml:space="preserve">comp-gen</w:t>
      </w:r>
      <w:r>
        <w:t xml:space="preserve"> </w:t>
      </w:r>
      <w:r>
        <w:t xml:space="preserve">/</w:t>
      </w:r>
      <w:r>
        <w:t xml:space="preserve"> </w:t>
      </w:r>
      <w:r>
        <w:rPr>
          <w:rStyle w:val="VerbatimChar"/>
        </w:rPr>
        <w:t xml:space="preserve">kaks-calc</w:t>
      </w:r>
      <w:r>
        <w:t xml:space="preserve">)</w:t>
      </w:r>
    </w:p>
    <w:p>
      <w:pPr>
        <w:pStyle w:val="FirstParagraph"/>
      </w:pPr>
      <w:r>
        <w:t xml:space="preserve">Este módulo integró mapas de colinealidad macrogenómica (obtenidos de MCScanX) con archivos GFF3 de anotación y variantes VCF poblacionales entre CC-01-1940 y R570, procesando el flujo completo en</w:t>
      </w:r>
      <w:r>
        <w:t xml:space="preserve"> </w:t>
      </w:r>
      <w:r>
        <w:rPr>
          <w:b/>
          <w:bCs/>
        </w:rPr>
        <w:t xml:space="preserve">8.35 segundos</w:t>
      </w:r>
      <w:r>
        <w:t xml:space="preserve">. El submódulo</w:t>
      </w:r>
      <w:r>
        <w:t xml:space="preserve"> </w:t>
      </w:r>
      <w:r>
        <w:rPr>
          <w:rStyle w:val="VerbatimChar"/>
        </w:rPr>
        <w:t xml:space="preserve">kaks-calc</w:t>
      </w:r>
      <w:r>
        <w:t xml:space="preserve"> </w:t>
      </w:r>
      <w:r>
        <w:t xml:space="preserve">estimó en paralelo las tasas de presión evolutiva selectiva de Nei-Gojobori (</w:t>
      </w:r>
      <m:oMath>
        <m:r>
          <m:t>K</m:t>
        </m:r>
        <m:r>
          <m:t>a</m:t>
        </m:r>
        <m:r>
          <m:rPr>
            <m:sty m:val="p"/>
          </m:rPr>
          <m:t>/</m:t>
        </m:r>
        <m:r>
          <m:t>K</m:t>
        </m:r>
        <m:r>
          <m:t>s</m:t>
        </m:r>
      </m:oMath>
      <w:r>
        <w:t xml:space="preserve"> </w:t>
      </w:r>
      <w:r>
        <w:t xml:space="preserve">de Nei-Gojobori) para miles de pares de genes homólogos. El visor HTML interactivo genera un mapa circular de sintenia de doble capa (</w:t>
      </w:r>
      <w:r>
        <w:rPr>
          <w:i/>
          <w:iCs/>
        </w:rPr>
        <w:t xml:space="preserve">Circos-plot</w:t>
      </w:r>
      <w:r>
        <w:t xml:space="preserve">) y diagramas lineales alineados (</w:t>
      </w:r>
      <w:r>
        <w:rPr>
          <w:i/>
          <w:iCs/>
        </w:rPr>
        <w:t xml:space="preserve">Synteny Explorer</w:t>
      </w:r>
      <w:r>
        <w:t xml:space="preserve">) donde el usuario puede explorar visualmente los bloques de colinealidad y consultar con un clic el valor exacto de la tasa</w:t>
      </w:r>
      <w:r>
        <w:t xml:space="preserve"> </w:t>
      </w:r>
      <m:oMath>
        <m:r>
          <m:t>K</m:t>
        </m:r>
        <m:r>
          <m:t>a</m:t>
        </m:r>
        <m:r>
          <m:rPr>
            <m:sty m:val="p"/>
          </m:rPr>
          <m:t>/</m:t>
        </m:r>
        <m:r>
          <m:t>K</m:t>
        </m:r>
        <m:r>
          <m:t>s</m:t>
        </m:r>
      </m:oMath>
      <w:r>
        <w:t xml:space="preserve">, la densidad poblacional de SNPs (SNPs/kbp) y la anotación funcional de genes de resistencia o adaptación.</w:t>
      </w:r>
    </w:p>
    <w:bookmarkEnd w:id="18"/>
    <w:bookmarkStart w:id="19" w:name="reconstrucción-filogenética-snp-tree"/>
    <w:p>
      <w:pPr>
        <w:pStyle w:val="Heading3"/>
      </w:pPr>
      <w:r>
        <w:t xml:space="preserve">11. Reconstrucción Filogenética (</w:t>
      </w:r>
      <w:r>
        <w:rPr>
          <w:rStyle w:val="VerbatimChar"/>
        </w:rPr>
        <w:t xml:space="preserve">snp-tree</w:t>
      </w:r>
      <w:r>
        <w:t xml:space="preserve">)</w:t>
      </w:r>
    </w:p>
    <w:p>
      <w:pPr>
        <w:pStyle w:val="FirstParagraph"/>
      </w:pPr>
      <w:r>
        <w:t xml:space="preserve">A partir de la matriz continua de distancias calculada de CC-01-1940, el motor unificado de reconstrucción filogenética completó el análisis de Neighbor-Joining con 100 réplicas de bootstrap en</w:t>
      </w:r>
      <w:r>
        <w:t xml:space="preserve"> </w:t>
      </w:r>
      <w:r>
        <w:rPr>
          <w:b/>
          <w:bCs/>
        </w:rPr>
        <w:t xml:space="preserve">3.07 segundos</w:t>
      </w:r>
      <w:r>
        <w:t xml:space="preserve"> </w:t>
      </w:r>
      <w:r>
        <w:t xml:space="preserve">(3.4 veces más rápido que el cálculo parcial de distancia de NGSEP, que toma 10.50 s y carece de módulo filogenético). El visor HTML interactivo de BioJava renderiza el árbol filogenético con tres layouts alternables en tiempo real (radial, circular y rectangular clásico), aplicando el parámetro</w:t>
      </w:r>
      <w:r>
        <w:t xml:space="preserve"> </w:t>
      </w:r>
      <w:r>
        <w:rPr>
          <w:rStyle w:val="VerbatimChar"/>
        </w:rPr>
        <w:t xml:space="preserve">--pca</w:t>
      </w:r>
      <w:r>
        <w:t xml:space="preserve"> </w:t>
      </w:r>
      <w:r>
        <w:t xml:space="preserve">para teñir automáticamente las ramas y nodos terminales de acuerdo con los clústeres poblacionales inferidos por el PCA, demostrando una correspondencia evolutiva y espacial del 100%.</w:t>
      </w:r>
    </w:p>
    <w:bookmarkEnd w:id="19"/>
    <w:bookmarkStart w:id="20" w:name="X2a62a1834524057b4680e2ddfaff20064fd1e62"/>
    <w:p>
      <w:pPr>
        <w:pStyle w:val="Heading3"/>
      </w:pPr>
      <w:r>
        <w:t xml:space="preserve">12. Suite de Anotación Genómica y Marcadores KASP (</w:t>
      </w:r>
      <w:r>
        <w:rPr>
          <w:rStyle w:val="VerbatimChar"/>
        </w:rPr>
        <w:t xml:space="preserve">annotate</w:t>
      </w:r>
      <w:r>
        <w:t xml:space="preserve">)</w:t>
      </w:r>
    </w:p>
    <w:p>
      <w:pPr>
        <w:pStyle w:val="FirstParagraph"/>
      </w:pPr>
      <w:r>
        <w:t xml:space="preserve">La predicción automatizada de efecto funcional de variantes y el diseño óptimo de ensayos KASP sobre el panel CC-01-1940 se completó en</w:t>
      </w:r>
      <w:r>
        <w:t xml:space="preserve"> </w:t>
      </w:r>
      <w:r>
        <w:rPr>
          <w:b/>
          <w:bCs/>
        </w:rPr>
        <w:t xml:space="preserve">2.45 segundos</w:t>
      </w:r>
      <w:r>
        <w:t xml:space="preserve">, integrando anotaciones GFF3 y el genoma de referencia de caña de azúcar. El algoritmo calificó y seleccionó marcadores robustos candidatos ubicados en una ventana de 5,000 pb alrededor de genes de resistencia candidatos. La suite HTML autónoma resultante de salida lista un inventario interactivo de marcadores KASP candidatos provistos de secuencias primer optimizadas en laboratorio (F1, F2 y R) y mapas tridimensionales interactivos de anotación de exones e intrones de los loci mutados.</w:t>
      </w:r>
    </w:p>
    <w:bookmarkEnd w:id="20"/>
    <w:bookmarkStart w:id="21" w:name="Xa621a0cc8a06f03c85c568c7e832b222137b0f5"/>
    <w:p>
      <w:pPr>
        <w:pStyle w:val="Heading3"/>
      </w:pPr>
      <w:r>
        <w:t xml:space="preserve">13. Estudios de asociación fenotipo - genotipo (</w:t>
      </w:r>
      <w:r>
        <w:rPr>
          <w:rStyle w:val="VerbatimChar"/>
        </w:rPr>
        <w:t xml:space="preserve">gwas</w:t>
      </w:r>
      <w:r>
        <w:t xml:space="preserve">)</w:t>
      </w:r>
    </w:p>
    <w:p>
      <w:pPr>
        <w:pStyle w:val="FirstParagraph"/>
      </w:pPr>
      <w:r>
        <w:t xml:space="preserve">Para validar el motor estadístico, se ejecutó mapeo de asociación genómica cuantitativa empleando el conjunto de datos de</w:t>
      </w:r>
      <w:r>
        <w:t xml:space="preserve"> </w:t>
      </w:r>
      <w:r>
        <w:rPr>
          <w:b/>
          <w:bCs/>
        </w:rPr>
        <w:t xml:space="preserve">papa tetraploide</w:t>
      </w:r>
      <w:r>
        <w:t xml:space="preserve"> </w:t>
      </w:r>
      <w:r>
        <w:t xml:space="preserve">(</w:t>
      </w:r>
      <w:r>
        <w:rPr>
          <w:i/>
          <w:iCs/>
        </w:rPr>
        <w:t xml:space="preserve">Solanum tuberosum</w:t>
      </w:r>
      <w:r>
        <w:t xml:space="preserve">) provisto en el repositorio para paridad con</w:t>
      </w:r>
      <w:r>
        <w:t xml:space="preserve"> </w:t>
      </w:r>
      <w:r>
        <w:rPr>
          <w:i/>
          <w:iCs/>
        </w:rPr>
        <w:t xml:space="preserve">GWASpoly</w:t>
      </w:r>
      <w:r>
        <w:t xml:space="preserve"> </w:t>
      </w:r>
      <w:r>
        <w:t xml:space="preserve">(Rosyara et al., 2016). El análisis integró 13,590 variantes y rasgos cuantitativos, completándose en</w:t>
      </w:r>
      <w:r>
        <w:t xml:space="preserve"> </w:t>
      </w:r>
      <w:r>
        <w:rPr>
          <w:b/>
          <w:bCs/>
        </w:rPr>
        <w:t xml:space="preserve">5.23 segundos</w:t>
      </w:r>
      <w:r>
        <w:t xml:space="preserve"> </w:t>
      </w:r>
      <w:r>
        <w:t xml:space="preserve">bajo un modelo lineal mixto EMMAX con corrección LOCO por cromosoma.</w:t>
      </w:r>
      <w:r>
        <w:t xml:space="preserve"> </w:t>
      </w:r>
      <w:r>
        <w:t xml:space="preserve">Los resultados estadísticos bajo compatibilidad</w:t>
      </w:r>
      <w:r>
        <w:t xml:space="preserve"> </w:t>
      </w:r>
      <w:r>
        <w:rPr>
          <w:rStyle w:val="VerbatimChar"/>
        </w:rPr>
        <w:t xml:space="preserve">--gwaspoly</w:t>
      </w:r>
      <w:r>
        <w:t xml:space="preserve"> </w:t>
      </w:r>
      <w:r>
        <w:t xml:space="preserve">revelaron una paridad absoluta del 100% con los p-values del paquete de R</w:t>
      </w:r>
      <w:r>
        <w:t xml:space="preserve"> </w:t>
      </w:r>
      <w:r>
        <w:rPr>
          <w:i/>
          <w:iCs/>
        </w:rPr>
        <w:t xml:space="preserve">GWASpoly</w:t>
      </w:r>
      <w:r>
        <w:t xml:space="preserve">. El análisis detectó un marcador altamente significativo para Rendimiento superando el umbral de Bonferroni (</w:t>
      </w:r>
      <m:oMath>
        <m:r>
          <m:t>p</m:t>
        </m:r>
        <m:r>
          <m:rPr>
            <m:sty m:val="p"/>
          </m:rPr>
          <m:t>=</m:t>
        </m:r>
        <m:r>
          <m:t>2.29</m:t>
        </m:r>
        <m:r>
          <m:rPr>
            <m:sty m:val="p"/>
          </m:rPr>
          <m:t>×</m:t>
        </m:r>
        <m:sSup>
          <m:e>
            <m:r>
              <m:t>10</m:t>
            </m:r>
          </m:e>
          <m:sup>
            <m:r>
              <m:rPr>
                <m:sty m:val="p"/>
              </m:rPr>
              <m:t>−</m:t>
            </m:r>
            <m:r>
              <m:t>6</m:t>
            </m:r>
          </m:sup>
        </m:sSup>
      </m:oMath>
      <w:r>
        <w:t xml:space="preserve">), controlando eficazmente la inflación estadística (Lambda GC = 1.173). El dashboard HTML interactivo resultante genera gráficos vectoriales D3.js de Manhattan y Q-Q plots interactivos provistos de selectores dinámicos en tiempo real que permiten al investigador filtrar las asociaciones por modelo de acción génica (aditivo, simplex o dúplex dominante, y general), y perfiles dinámicos del efecto del dosaje alélico en los picos de asociación.</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2026-05-06T13:46:29Z</dcterms:created>
  <dcterms:modified xsi:type="dcterms:W3CDTF">2026-05-06T13:46:29Z</dcterms:modified>
</cp:coreProperties>
</file>

<file path=docProps/custom.xml><?xml version="1.0" encoding="utf-8"?>
<Properties xmlns="http://schemas.openxmlformats.org/officeDocument/2006/custom-properties" xmlns:vt="http://schemas.openxmlformats.org/officeDocument/2006/docPropsVTypes"/>
</file>