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d304e03cc0095711da8abeee7e66491ca0dc6e"/>
    <w:p>
      <w:pPr>
        <w:pStyle w:val="Heading1"/>
      </w:pPr>
      <w:r>
        <w:t xml:space="preserve">Dinámica de Elementos Transponibles y Arquitectura a Dos Velocidades en el Genoma de</w:t>
      </w:r>
      <w:r>
        <w:t xml:space="preserve"> </w:t>
      </w:r>
      <w:r>
        <w:rPr>
          <w:i/>
          <w:iCs/>
        </w:rPr>
        <w:t xml:space="preserve">Puccinia melanocephala</w:t>
      </w:r>
      <w:r>
        <w:t xml:space="preserve">: Evidencia de Aislamiento Evolutivo y Especialización en Caña de Azúcar</w:t>
      </w:r>
    </w:p>
    <w:p>
      <w:pPr>
        <w:pStyle w:val="FirstParagraph"/>
      </w:pPr>
      <w:r>
        <w:rPr>
          <w:b/>
          <w:bCs/>
        </w:rPr>
        <w:t xml:space="preserve">Resumen (Abstract)</w:t>
      </w:r>
      <w:r>
        <w:t xml:space="preserve"> </w:t>
      </w:r>
      <w:r>
        <w:t xml:space="preserve">La roya café de la caña de azúcar (</w:t>
      </w:r>
      <w:r>
        <w:rPr>
          <w:i/>
          <w:iCs/>
        </w:rPr>
        <w:t xml:space="preserve">Puccinia melanocephala</w:t>
      </w:r>
      <w:r>
        <w:t xml:space="preserve">) y la roya naranja (</w:t>
      </w:r>
      <w:r>
        <w:rPr>
          <w:i/>
          <w:iCs/>
        </w:rPr>
        <w:t xml:space="preserve">P. kuehnii</w:t>
      </w:r>
      <w:r>
        <w:t xml:space="preserve">) son patógenos fúngicos devastadores. En este estudio, se analizó la arquitectura genómica comparativa de ambas especies para comprender los mecanismos evolutivos de su virulencia. Los resultados revelaron una expansión masiva del genoma de</w:t>
      </w:r>
      <w:r>
        <w:t xml:space="preserve"> </w:t>
      </w:r>
      <w:r>
        <w:rPr>
          <w:i/>
          <w:iCs/>
        </w:rPr>
        <w:t xml:space="preserve">P. melanocephala</w:t>
      </w:r>
      <w:r>
        <w:t xml:space="preserve"> </w:t>
      </w:r>
      <w:r>
        <w:t xml:space="preserve">(308 MB), impulsada en un 58.3% por la proliferación de Elementos Transponibles (TEs). El análisis topológico demostró que el 91.8% de los genes de</w:t>
      </w:r>
      <w:r>
        <w:t xml:space="preserve"> </w:t>
      </w:r>
      <w:r>
        <w:rPr>
          <w:i/>
          <w:iCs/>
        </w:rPr>
        <w:t xml:space="preserve">P. melanocephala</w:t>
      </w:r>
      <w:r>
        <w:t xml:space="preserve"> </w:t>
      </w:r>
      <w:r>
        <w:t xml:space="preserve">residen incrustados o flanqueados (&lt;2kb) por transposones, validando físicamente el modelo de</w:t>
      </w:r>
      <w:r>
        <w:t xml:space="preserve"> </w:t>
      </w:r>
      <w:r>
        <w:t xml:space="preserve">“Genoma a Dos Velocidades”</w:t>
      </w:r>
      <w:r>
        <w:t xml:space="preserve">. Esta invasión genómica generó una ruptura masiva de sintenia (7.9%) respecto a</w:t>
      </w:r>
      <w:r>
        <w:t xml:space="preserve"> </w:t>
      </w:r>
      <w:r>
        <w:rPr>
          <w:i/>
          <w:iCs/>
        </w:rPr>
        <w:t xml:space="preserve">P. kuehnii</w:t>
      </w:r>
      <w:r>
        <w:t xml:space="preserve">, facilitando la hiper-mutación adaptativa (Ka/Ks elevado) de efectores clave y consolidando una estricta especialización de hospedero que aísla genéticamente a esta especie de las royas de los cereales.</w:t>
      </w:r>
    </w:p>
    <w:bookmarkStart w:id="9" w:name="introducción"/>
    <w:p>
      <w:pPr>
        <w:pStyle w:val="Heading2"/>
      </w:pPr>
      <w:r>
        <w:t xml:space="preserve">1. Introducción</w:t>
      </w:r>
    </w:p>
    <w:p>
      <w:pPr>
        <w:pStyle w:val="FirstParagraph"/>
      </w:pPr>
      <w:r>
        <w:rPr>
          <w:i/>
          <w:iCs/>
        </w:rPr>
        <w:t xml:space="preserve">(Nota para el autor: Aquí debe redactarse la introducción formal del paper. Sugerencia de temas a incluir: impacto agronómico de las royas de la caña de azúcar, la necesidad de comprender sus mecanismos de virulencia a nivel molecular, y la hipótesis de trabajo sobre la plasticidad genómica y los elementos transponibles como motores evolutivos en hongos patógenos).</w:t>
      </w:r>
    </w:p>
    <w:bookmarkEnd w:id="9"/>
    <w:bookmarkStart w:id="42" w:name="materiales-y-métodos"/>
    <w:p>
      <w:pPr>
        <w:pStyle w:val="Heading2"/>
      </w:pPr>
      <w:r>
        <w:t xml:space="preserve">2. Materiales y Métodos</w:t>
      </w:r>
    </w:p>
    <w:bookmarkStart w:id="10" w:name="anotación-funcional-y-mapeo-ontológico"/>
    <w:p>
      <w:pPr>
        <w:pStyle w:val="Heading3"/>
      </w:pPr>
      <w:r>
        <w:t xml:space="preserve">2.1 Anotación Funcional y Mapeo Ontológico</w:t>
      </w:r>
    </w:p>
    <w:p>
      <w:pPr>
        <w:pStyle w:val="FirstParagraph"/>
      </w:pPr>
      <w:r>
        <w:t xml:space="preserve">La inferencia funcional de los proteomas predichos para</w:t>
      </w:r>
      <w:r>
        <w:t xml:space="preserve"> </w:t>
      </w:r>
      <w:r>
        <w:rPr>
          <w:i/>
          <w:iCs/>
        </w:rPr>
        <w:t xml:space="preserve">Puccinia melanocephala</w:t>
      </w:r>
      <w:r>
        <w:t xml:space="preserve"> </w:t>
      </w:r>
      <w:r>
        <w:t xml:space="preserve">y</w:t>
      </w:r>
      <w:r>
        <w:t xml:space="preserve"> </w:t>
      </w:r>
      <w:r>
        <w:rPr>
          <w:i/>
          <w:iCs/>
        </w:rPr>
        <w:t xml:space="preserve">Puccinia kuehnii</w:t>
      </w:r>
      <w:r>
        <w:t xml:space="preserve"> </w:t>
      </w:r>
      <w:r>
        <w:t xml:space="preserve">se llevó a cabo utilizando el mapeador ortológico eggNOG-mapper (v2.1.9). Los alineamientos de secuencias se ejecutaron mediante el algoritmo DIAMOND en modo ultra-sensible, estableciendo un umbral de significancia (e-value) de &lt; 1e-5 y un filtrado estricto de cobertura de query mínimo del 50%. A partir de las semillas ortólogas, se extrajeron las anotaciones para las Categorías Funcionales Ortólogas (COG) y los términos de Gene Ontology (GO). Para mitigar el sesgo de representación inducido por la expansión paráloga masiva, las frecuencias se normalizaron a nivel de Grupos Ortólogos (Orthologous Groups). La dimensionalidad de los términos GO se redujo mapeando la ontología cruda hacia el vocabulario controlado GO Slim utilizando el Directed Acyclic Graph (DAG) genérico, lo que permitió una caracterización macroscópica de los procesos biológicos involucrados en la patogénesis.</w:t>
      </w:r>
    </w:p>
    <w:bookmarkEnd w:id="10"/>
    <w:bookmarkStart w:id="11" w:name="X66fce24c7fb94bb7e55f7266f88d4d1bc6188df"/>
    <w:p>
      <w:pPr>
        <w:pStyle w:val="Heading3"/>
      </w:pPr>
      <w:r>
        <w:t xml:space="preserve">2.2 Genómica Comparativa y Análisis de Colinealidad Cromosómica</w:t>
      </w:r>
    </w:p>
    <w:p>
      <w:pPr>
        <w:pStyle w:val="FirstParagraph"/>
      </w:pPr>
      <w:r>
        <w:t xml:space="preserve">Para evaluar la conservación estructural y la pérdida de sintenia, se realizó un escaneo computacional de colinealidad intragenómica e intergenómica. Inicialmente, se computó un alineamiento recíproco All-vs-All del proteoma mediante BLASTp (e-value &lt; 1e-10, top 5 hits). Las topologías de red resultantes y las coordenadas posicionales (GFF3) se procesaron mediante el algoritmo de programación dinámica MCScanX. Se definió un umbral de colinealidad estricto (</w:t>
      </w:r>
      <w:r>
        <w:rPr>
          <w:rStyle w:val="VerbatimChar"/>
        </w:rPr>
        <w:t xml:space="preserve">MATCH_SIZE=5</w:t>
      </w:r>
      <w:r>
        <w:t xml:space="preserve">), requiriendo un mínimo de cinco genes ortólogos consecutivos para considerar un bloque sinténico válido, filtrando eficazmente translocaciones menores y ruido derivado de inserciones de elementos transponibles únicos.</w:t>
      </w:r>
    </w:p>
    <w:bookmarkEnd w:id="11"/>
    <w:bookmarkStart w:id="12" w:name="X6bca424dff62d76f5c653d963a255888306836f"/>
    <w:p>
      <w:pPr>
        <w:pStyle w:val="Heading3"/>
      </w:pPr>
      <w:r>
        <w:t xml:space="preserve">2.3 Identidad Genómica y Estructura Poblacional</w:t>
      </w:r>
    </w:p>
    <w:p>
      <w:pPr>
        <w:pStyle w:val="FirstParagraph"/>
      </w:pPr>
      <w:r>
        <w:t xml:space="preserve">La distancia evolutiva a escala de genoma completo se resolvió mediante el algoritmo fastANI, empleando un tamaño de fragmento (k-mer) de 3,000 pb. Esto generó matrices bidireccionales de Identidad Promedio de Nucleótidos (ANI) y Fracción de Alineamiento (AF). Para el análisis de la variabilidad intraespecífica, se mapearon genomas asambleados de aislamientos globales frente a los genomas de referencia empleando minimap2 (modo asm20). Las variantes nucleotídicas unicelulares (SNPs) se extrajeron con la suite bcftools. La matriz de varianza-covarianza genética resultante se redujo dimensionalmente mediante un Análisis de Componentes Principales (PCA) utilizando la librería scikit-learn en Python, definiendo las distancias genéticas pairwise bajo la métrica de bloque (Cityblock).</w:t>
      </w:r>
    </w:p>
    <w:bookmarkEnd w:id="12"/>
    <w:bookmarkStart w:id="13" w:name="Xa016ca70e48d92fe0f6d6b76cab8b74082faf84"/>
    <w:p>
      <w:pPr>
        <w:pStyle w:val="Heading3"/>
      </w:pPr>
      <w:r>
        <w:t xml:space="preserve">2.4 Dinámica Evolutiva (Selección Natural y Reloj Molecular)</w:t>
      </w:r>
    </w:p>
    <w:p>
      <w:pPr>
        <w:pStyle w:val="FirstParagraph"/>
      </w:pPr>
      <w:r>
        <w:t xml:space="preserve">La inferencia de presión selectiva se modeló sobre pares de genes ortólogos estrictos (1:1). Los alineamientos de codones se retro-tradujeron utilizando ParaAT y el cálculo de tasas de sustitución sinónima (Ks) y no sinónima (Ka) se estimó bajo el modelo de sustitución de secuencias de YN (Yang and Nielsen) integrado en KaKs_Calculator v2.0. Las distribuciones de ratios Ka/Ks &gt; 1 indicaron regímenes de diversificación positiva (hiper-mutación adaptativa). El fechado de divergencia (Reloj Molecular) se calibró asumiendo una constante de mutación basal para basidiomicetos de</w:t>
      </w:r>
      <w:r>
        <w:t xml:space="preserve"> </w:t>
      </w:r>
      <m:oMath>
        <m:r>
          <m:t>r</m:t>
        </m:r>
        <m:r>
          <m:rPr>
            <m:sty m:val="p"/>
          </m:rPr>
          <m:t>=</m:t>
        </m:r>
        <m:r>
          <m:t>1.5</m:t>
        </m:r>
        <m:r>
          <m:t>i</m:t>
        </m:r>
        <m:r>
          <m:t>m</m:t>
        </m:r>
        <m:r>
          <m:t>e</m:t>
        </m:r>
        <m:r>
          <m:t>s</m:t>
        </m:r>
        <m:sSup>
          <m:e>
            <m:r>
              <m:t>10</m:t>
            </m:r>
          </m:e>
          <m:sup>
            <m:r>
              <m:rPr>
                <m:sty m:val="p"/>
              </m:rPr>
              <m:t>−</m:t>
            </m:r>
            <m:r>
              <m:t>8</m:t>
            </m:r>
          </m:sup>
        </m:sSup>
      </m:oMath>
      <w:r>
        <w:t xml:space="preserve"> </w:t>
      </w:r>
      <w:r>
        <w:t xml:space="preserve">sustituciones por sitio/año, aplicando el algoritmo estándar de divergencia genética</w:t>
      </w:r>
      <w:r>
        <w:t xml:space="preserve"> </w:t>
      </w:r>
      <m:oMath>
        <m:r>
          <m:t>T</m:t>
        </m:r>
        <m:r>
          <m:rPr>
            <m:sty m:val="p"/>
          </m:rPr>
          <m:t>=</m:t>
        </m:r>
        <m:r>
          <m:t>K</m:t>
        </m:r>
        <m:r>
          <m:t>s</m:t>
        </m:r>
        <m:r>
          <m:rPr>
            <m:sty m:val="p"/>
          </m:rPr>
          <m:t>/</m:t>
        </m:r>
        <m:r>
          <m:rPr>
            <m:sty m:val="p"/>
          </m:rPr>
          <m:t>(</m:t>
        </m:r>
        <m:r>
          <m:t>2</m:t>
        </m:r>
        <m:r>
          <m:t>r</m:t>
        </m:r>
        <m:r>
          <m:rPr>
            <m:sty m:val="p"/>
          </m:rPr>
          <m:t>)</m:t>
        </m:r>
      </m:oMath>
      <w:r>
        <w:t xml:space="preserve">.</w:t>
      </w:r>
    </w:p>
    <w:bookmarkEnd w:id="13"/>
    <w:bookmarkStart w:id="14" w:name="reconstrucción-filogenómica"/>
    <w:p>
      <w:pPr>
        <w:pStyle w:val="Heading3"/>
      </w:pPr>
      <w:r>
        <w:t xml:space="preserve">2.5 Reconstrucción Filogenómica</w:t>
      </w:r>
    </w:p>
    <w:p>
      <w:pPr>
        <w:pStyle w:val="FirstParagraph"/>
      </w:pPr>
      <w:r>
        <w:t xml:space="preserve">La topología filogenética basal se ancló sobre secuencias ortólogas de copia única altamente conservadas (complejo Arp2/3 de nucleación de actina). El alineamiento múltiple se realizó bajo el algoritmo L-INS-i de MAFFT. Posteriormente, la reconstrucción arbórea se resolvió mediante inferencia de Máxima Verosimilitud (Maximum Likelihood) utilizando FastTree v2.1, empleando el modelo generalizado de tiempo reversible (GTR) con parámetros de heterogeneidad de tasas Gamma (CAT).</w:t>
      </w:r>
    </w:p>
    <w:bookmarkEnd w:id="14"/>
    <w:bookmarkStart w:id="15" w:name="Xbbd18f8f8c23b22f9f4fb0f0cec50d130f0f2ee"/>
    <w:p>
      <w:pPr>
        <w:pStyle w:val="Heading3"/>
      </w:pPr>
      <w:r>
        <w:t xml:space="preserve">2.6 Modelado Computacional de Elementos Transponibles (TEs)</w:t>
      </w:r>
    </w:p>
    <w:p>
      <w:pPr>
        <w:pStyle w:val="FirstParagraph"/>
      </w:pPr>
      <w:r>
        <w:t xml:space="preserve">La identificación exhaustiva y la anotación</w:t>
      </w:r>
      <w:r>
        <w:t xml:space="preserve"> </w:t>
      </w:r>
      <w:r>
        <w:rPr>
          <w:i/>
          <w:iCs/>
        </w:rPr>
        <w:t xml:space="preserve">De Novo</w:t>
      </w:r>
      <w:r>
        <w:t xml:space="preserve"> </w:t>
      </w:r>
      <w:r>
        <w:t xml:space="preserve">de las secuencias repetitivas se modelaron de manera independiente utilizando RepeatModeler v2.0, el cual integró los motores de descubrimiento heurístico RECON y RepeatScout. Una vez obtenidas las bibliotecas de secuencias consenso, se procedió a cuantificar el impacto genómico mediante el mapeo de estas librerías frente al ensamblaje primario usando BLASTn en modo genómico. Finalmente, el análisis topológico de proximidad gen-TE (arquitectura de dos velocidades) se resolvió calculando el radio de distancia (en pares de bases) empleando el algoritmo de optimización de intervalos</w:t>
      </w:r>
      <w:r>
        <w:t xml:space="preserve"> </w:t>
      </w:r>
      <w:r>
        <w:rPr>
          <w:rStyle w:val="VerbatimChar"/>
        </w:rPr>
        <w:t xml:space="preserve">closest</w:t>
      </w:r>
      <w:r>
        <w:t xml:space="preserve"> </w:t>
      </w:r>
      <w:r>
        <w:t xml:space="preserve">de la suite Bedtools.</w:t>
      </w:r>
      <w:r>
        <w:t xml:space="preserve"> </w:t>
      </w:r>
      <w:r>
        <w:t xml:space="preserve">## 3. Resultados</w:t>
      </w:r>
      <w:r>
        <w:t xml:space="preserve"> </w:t>
      </w:r>
      <w:r>
        <w:t xml:space="preserve">### 3.1 Anotación Estructural y Carga Génica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 Estructural</w:t>
            </w:r>
          </w:p>
        </w:tc>
        <w:tc>
          <w:tcPr/>
          <w:p>
            <w:pPr>
              <w:pStyle w:val="Compact"/>
              <w:jc w:val="left"/>
            </w:pPr>
            <w:r>
              <w:rPr>
                <w:i/>
                <w:iCs/>
              </w:rPr>
              <w:t xml:space="preserve">Puccinia melanocephala</w:t>
            </w:r>
            <w:r>
              <w:t xml:space="preserve"> </w:t>
            </w:r>
            <w:r>
              <w:t xml:space="preserve">(Roya Café)</w:t>
            </w:r>
          </w:p>
        </w:tc>
        <w:tc>
          <w:tcPr/>
          <w:p>
            <w:pPr>
              <w:pStyle w:val="Compact"/>
              <w:jc w:val="left"/>
            </w:pPr>
            <w:r>
              <w:rPr>
                <w:i/>
                <w:iCs/>
              </w:rPr>
              <w:t xml:space="preserve">Puccinia kuehnii</w:t>
            </w:r>
            <w:r>
              <w:t xml:space="preserve"> </w:t>
            </w:r>
            <w:r>
              <w:t xml:space="preserve">(Roya Naranja)</w:t>
            </w:r>
          </w:p>
        </w:tc>
      </w:tr>
      <w:tr>
        <w:tc>
          <w:tcPr/>
          <w:p>
            <w:pPr>
              <w:pStyle w:val="Compact"/>
              <w:jc w:val="left"/>
            </w:pPr>
            <w:r>
              <w:rPr>
                <w:b/>
                <w:bCs/>
              </w:rPr>
              <w:t xml:space="preserve">Modelos de Genes Predichos</w:t>
            </w:r>
          </w:p>
        </w:tc>
        <w:tc>
          <w:tcPr/>
          <w:p>
            <w:pPr>
              <w:pStyle w:val="Compact"/>
              <w:jc w:val="left"/>
            </w:pPr>
            <w:r>
              <w:t xml:space="preserve">33,999 genes</w:t>
            </w:r>
          </w:p>
        </w:tc>
        <w:tc>
          <w:tcPr/>
          <w:p>
            <w:pPr>
              <w:pStyle w:val="Compact"/>
              <w:jc w:val="left"/>
            </w:pPr>
            <w:r>
              <w:t xml:space="preserve">16,432 genes</w:t>
            </w:r>
          </w:p>
        </w:tc>
      </w:tr>
      <w:tr>
        <w:tc>
          <w:tcPr/>
          <w:p>
            <w:pPr>
              <w:pStyle w:val="Compact"/>
              <w:jc w:val="left"/>
            </w:pPr>
            <w:r>
              <w:rPr>
                <w:b/>
                <w:bCs/>
              </w:rPr>
              <w:t xml:space="preserve">Genes con Anotación Funcional</w:t>
            </w:r>
          </w:p>
        </w:tc>
        <w:tc>
          <w:tcPr/>
          <w:p>
            <w:pPr>
              <w:pStyle w:val="Compact"/>
              <w:jc w:val="left"/>
            </w:pPr>
            <w:r>
              <w:t xml:space="preserve">15,683 genes (~46.1%)</w:t>
            </w:r>
          </w:p>
        </w:tc>
        <w:tc>
          <w:tcPr/>
          <w:p>
            <w:pPr>
              <w:pStyle w:val="Compact"/>
              <w:jc w:val="left"/>
            </w:pPr>
            <w:r>
              <w:t xml:space="preserve">6,741 genes (~41.0%)</w:t>
            </w:r>
          </w:p>
        </w:tc>
      </w:tr>
      <w:tr>
        <w:tc>
          <w:tcPr/>
          <w:p>
            <w:pPr>
              <w:pStyle w:val="Compact"/>
              <w:jc w:val="left"/>
            </w:pPr>
            <w:r>
              <w:rPr>
                <w:b/>
                <w:bCs/>
              </w:rPr>
              <w:t xml:space="preserve">Genes Base Únicos (Catálogo sin repeticiones)</w:t>
            </w:r>
          </w:p>
        </w:tc>
        <w:tc>
          <w:tcPr/>
          <w:p>
            <w:pPr>
              <w:pStyle w:val="Compact"/>
              <w:jc w:val="left"/>
            </w:pPr>
            <w:r>
              <w:t xml:space="preserve">3,276 genes</w:t>
            </w:r>
          </w:p>
        </w:tc>
        <w:tc>
          <w:tcPr/>
          <w:p>
            <w:pPr>
              <w:pStyle w:val="Compact"/>
              <w:jc w:val="left"/>
            </w:pPr>
            <w:r>
              <w:t xml:space="preserve">3,178 genes</w:t>
            </w:r>
          </w:p>
        </w:tc>
      </w:tr>
      <w:tr>
        <w:tc>
          <w:tcPr/>
          <w:p>
            <w:pPr>
              <w:pStyle w:val="Compact"/>
              <w:jc w:val="left"/>
            </w:pPr>
            <w:r>
              <w:t xml:space="preserve">↳</w:t>
            </w:r>
            <w:r>
              <w:t xml:space="preserve"> </w:t>
            </w:r>
            <w:r>
              <w:rPr>
                <w:i/>
                <w:iCs/>
              </w:rPr>
              <w:t xml:space="preserve">Genes base con 1 sola copia estricta</w:t>
            </w:r>
          </w:p>
        </w:tc>
        <w:tc>
          <w:tcPr/>
          <w:p>
            <w:pPr>
              <w:pStyle w:val="Compact"/>
              <w:jc w:val="left"/>
            </w:pPr>
            <w:r>
              <w:t xml:space="preserve">2,074 genes</w:t>
            </w:r>
          </w:p>
        </w:tc>
        <w:tc>
          <w:tcPr/>
          <w:p>
            <w:pPr>
              <w:pStyle w:val="Compact"/>
              <w:jc w:val="left"/>
            </w:pPr>
            <w:r>
              <w:t xml:space="preserve">2,102 genes</w:t>
            </w:r>
          </w:p>
        </w:tc>
      </w:tr>
      <w:tr>
        <w:tc>
          <w:tcPr/>
          <w:p>
            <w:pPr>
              <w:pStyle w:val="Compact"/>
              <w:jc w:val="left"/>
            </w:pPr>
            <w:r>
              <w:t xml:space="preserve">↳</w:t>
            </w:r>
            <w:r>
              <w:t xml:space="preserve"> </w:t>
            </w:r>
            <w:r>
              <w:rPr>
                <w:i/>
                <w:iCs/>
              </w:rPr>
              <w:t xml:space="preserve">Genes base con múltiples copias (fotocopiados)</w:t>
            </w:r>
          </w:p>
        </w:tc>
        <w:tc>
          <w:tcPr/>
          <w:p>
            <w:pPr>
              <w:pStyle w:val="Compact"/>
              <w:jc w:val="left"/>
            </w:pPr>
            <w:r>
              <w:t xml:space="preserve">1,202 genes</w:t>
            </w:r>
          </w:p>
        </w:tc>
        <w:tc>
          <w:tcPr/>
          <w:p>
            <w:pPr>
              <w:pStyle w:val="Compact"/>
              <w:jc w:val="left"/>
            </w:pPr>
            <w:r>
              <w:t xml:space="preserve">1,076 genes</w:t>
            </w:r>
          </w:p>
        </w:tc>
      </w:tr>
      <w:tr>
        <w:tc>
          <w:tcPr/>
          <w:p>
            <w:pPr>
              <w:pStyle w:val="Compact"/>
              <w:jc w:val="left"/>
            </w:pPr>
            <w:r>
              <w:rPr>
                <w:b/>
                <w:bCs/>
              </w:rPr>
              <w:t xml:space="preserve">Total de copias generadas por duplicación</w:t>
            </w:r>
          </w:p>
        </w:tc>
        <w:tc>
          <w:tcPr/>
          <w:p>
            <w:pPr>
              <w:pStyle w:val="Compact"/>
              <w:jc w:val="left"/>
            </w:pPr>
            <w:r>
              <w:rPr>
                <w:b/>
                <w:bCs/>
              </w:rPr>
              <w:t xml:space="preserve">13,609 copias</w:t>
            </w:r>
          </w:p>
        </w:tc>
        <w:tc>
          <w:tcPr/>
          <w:p>
            <w:pPr>
              <w:pStyle w:val="Compact"/>
              <w:jc w:val="left"/>
            </w:pPr>
            <w:r>
              <w:rPr>
                <w:b/>
                <w:bCs/>
              </w:rPr>
              <w:t xml:space="preserve">4,639 copias</w:t>
            </w:r>
          </w:p>
        </w:tc>
      </w:tr>
      <w:tr>
        <w:tc>
          <w:tcPr/>
          <w:p>
            <w:pPr>
              <w:pStyle w:val="Compact"/>
              <w:jc w:val="left"/>
            </w:pPr>
            <w:r>
              <w:rPr>
                <w:b/>
                <w:bCs/>
              </w:rPr>
              <w:t xml:space="preserve">Transposones Activos (TEs)</w:t>
            </w:r>
          </w:p>
        </w:tc>
        <w:tc>
          <w:tcPr/>
          <w:p>
            <w:pPr>
              <w:pStyle w:val="Compact"/>
              <w:jc w:val="left"/>
            </w:pPr>
            <w:r>
              <w:rPr>
                <w:b/>
                <w:bCs/>
              </w:rPr>
              <w:t xml:space="preserve">40 genes únicos</w:t>
            </w:r>
            <w:r>
              <w:t xml:space="preserve"> </w:t>
            </w:r>
            <w:r>
              <w:t xml:space="preserve">(2,690 copias)</w:t>
            </w:r>
          </w:p>
        </w:tc>
        <w:tc>
          <w:tcPr/>
          <w:p>
            <w:pPr>
              <w:pStyle w:val="Compact"/>
              <w:jc w:val="left"/>
            </w:pPr>
            <w:r>
              <w:rPr>
                <w:b/>
                <w:bCs/>
              </w:rPr>
              <w:t xml:space="preserve">29 genes únicos</w:t>
            </w:r>
            <w:r>
              <w:t xml:space="preserve"> </w:t>
            </w:r>
            <w:r>
              <w:t xml:space="preserve">(250 copias)</w:t>
            </w:r>
          </w:p>
        </w:tc>
      </w:tr>
      <w:tr>
        <w:tc>
          <w:tcPr/>
          <w:p>
            <w:pPr>
              <w:pStyle w:val="Compact"/>
              <w:jc w:val="left"/>
            </w:pPr>
            <w:r>
              <w:rPr>
                <w:b/>
                <w:bCs/>
              </w:rPr>
              <w:t xml:space="preserve">Genes sin Anotación Funcional (Hipotéticos)</w:t>
            </w:r>
          </w:p>
        </w:tc>
        <w:tc>
          <w:tcPr/>
          <w:p>
            <w:pPr>
              <w:pStyle w:val="Compact"/>
              <w:jc w:val="left"/>
            </w:pPr>
            <w:r>
              <w:t xml:space="preserve">18,316 genes (~53.9%)</w:t>
            </w:r>
          </w:p>
        </w:tc>
        <w:tc>
          <w:tcPr/>
          <w:p>
            <w:pPr>
              <w:pStyle w:val="Compact"/>
              <w:jc w:val="left"/>
            </w:pPr>
            <w:r>
              <w:t xml:space="preserve">9,691 genes (~59.0%)</w:t>
            </w:r>
          </w:p>
        </w:tc>
      </w:tr>
    </w:tbl>
    <w:bookmarkEnd w:id="15"/>
    <w:bookmarkStart w:id="21" w:name="X1a913430a75bbd104e64153511083d161976f4f"/>
    <w:p>
      <w:pPr>
        <w:pStyle w:val="Heading3"/>
      </w:pPr>
      <w:r>
        <w:t xml:space="preserve">2.2 Perfil Funcional y Pangenoma (Categorías COG y GO Slim)</w:t>
      </w:r>
    </w:p>
    <w:p>
      <w:pPr>
        <w:pStyle w:val="FirstParagraph"/>
      </w:pPr>
      <w:r>
        <w:t xml:space="preserve">Para entender cómo se distribuye la biología de estos hongos más allá del simple conteo estructural, se aislaron los</w:t>
      </w:r>
      <w:r>
        <w:t xml:space="preserve"> </w:t>
      </w:r>
      <w:r>
        <w:rPr>
          <w:b/>
          <w:bCs/>
        </w:rPr>
        <w:t xml:space="preserve">Genes Base</w:t>
      </w:r>
      <w:r>
        <w:t xml:space="preserve"> </w:t>
      </w:r>
      <w:r>
        <w:t xml:space="preserve">(Familias únicas u ortólogas), eliminando el ruido provocado por las fotocopias (genes parálogos). Este análisis del pangenoma revela un dato crucial: de las 3,511 familias únicas que conforman la genética de ambas especies,</w:t>
      </w:r>
      <w:r>
        <w:t xml:space="preserve"> </w:t>
      </w:r>
      <w:r>
        <w:rPr>
          <w:b/>
          <w:bCs/>
        </w:rPr>
        <w:t xml:space="preserve">2,943 familias (el 84%) son compartidas (Core Genoma)</w:t>
      </w:r>
      <w:r>
        <w:t xml:space="preserve">.</w:t>
      </w:r>
    </w:p>
    <w:p>
      <w:pPr>
        <w:pStyle w:val="BodyText"/>
      </w:pPr>
      <w:r>
        <w:drawing>
          <wp:inline>
            <wp:extent cx="5330432" cy="5088834"/>
            <wp:effectExtent b="0" l="0" r="0" t="0"/>
            <wp:docPr descr="Diagrama de Venn del Pangenoma Funcional" title="" id="17" name="Picture"/>
            <a:graphic>
              <a:graphicData uri="http://schemas.openxmlformats.org/drawingml/2006/picture">
                <pic:pic>
                  <pic:nvPicPr>
                    <pic:cNvPr descr="/Users/estuvar4/Documents/2.%20software/17.biojava/datos_royas/1.Resultados_Tesis/venn_pangenoma.png" id="18" name="Picture"/>
                    <pic:cNvPicPr>
                      <a:picLocks noChangeArrowheads="1" noChangeAspect="1"/>
                    </pic:cNvPicPr>
                  </pic:nvPicPr>
                  <pic:blipFill>
                    <a:blip r:embed="rId16"/>
                    <a:stretch>
                      <a:fillRect/>
                    </a:stretch>
                  </pic:blipFill>
                  <pic:spPr bwMode="auto">
                    <a:xfrm>
                      <a:off x="0" y="0"/>
                      <a:ext cx="5330432" cy="5088834"/>
                    </a:xfrm>
                    <a:prstGeom prst="rect">
                      <a:avLst/>
                    </a:prstGeom>
                    <a:noFill/>
                    <a:ln w="9525">
                      <a:noFill/>
                      <a:headEnd/>
                      <a:tailEnd/>
                    </a:ln>
                  </pic:spPr>
                </pic:pic>
              </a:graphicData>
            </a:graphic>
          </wp:inline>
        </w:drawing>
      </w:r>
      <w:r>
        <w:t xml:space="preserve"> </w:t>
      </w:r>
      <w:r>
        <w:rPr>
          <w:i/>
          <w:iCs/>
        </w:rPr>
        <w:t xml:space="preserve">Figura 2.2: Diagrama de Venn ilustrando la intersección de familias biológicas (genes base) entre P. melanocephala y P. kuehnii.</w:t>
      </w:r>
    </w:p>
    <w:p>
      <w:pPr>
        <w:pStyle w:val="BodyText"/>
      </w:pPr>
      <w:r>
        <w:drawing>
          <wp:inline>
            <wp:extent cx="5330432" cy="5088834"/>
            <wp:effectExtent b="0" l="0" r="0" t="0"/>
            <wp:docPr descr="Diagrama de Venn del Pangenoma Funcional" title="" id="19" name="Picture"/>
            <a:graphic>
              <a:graphicData uri="http://schemas.openxmlformats.org/drawingml/2006/picture">
                <pic:pic>
                  <pic:nvPicPr>
                    <pic:cNvPr descr="/Users/estuvar4/Documents/2.%20software/17.biojava/datos_royas/1.Resultados_Tesis/venn_pangenoma.png" id="20" name="Picture"/>
                    <pic:cNvPicPr>
                      <a:picLocks noChangeArrowheads="1" noChangeAspect="1"/>
                    </pic:cNvPicPr>
                  </pic:nvPicPr>
                  <pic:blipFill>
                    <a:blip r:embed="rId16"/>
                    <a:stretch>
                      <a:fillRect/>
                    </a:stretch>
                  </pic:blipFill>
                  <pic:spPr bwMode="auto">
                    <a:xfrm>
                      <a:off x="0" y="0"/>
                      <a:ext cx="5330432" cy="5088834"/>
                    </a:xfrm>
                    <a:prstGeom prst="rect">
                      <a:avLst/>
                    </a:prstGeom>
                    <a:noFill/>
                    <a:ln w="9525">
                      <a:noFill/>
                      <a:headEnd/>
                      <a:tailEnd/>
                    </a:ln>
                  </pic:spPr>
                </pic:pic>
              </a:graphicData>
            </a:graphic>
          </wp:inline>
        </w:drawing>
      </w:r>
      <w:r>
        <w:t xml:space="preserve"> </w:t>
      </w:r>
      <w:r>
        <w:rPr>
          <w:i/>
          <w:iCs/>
        </w:rPr>
        <w:t xml:space="preserve">Figura 2.2: Diagrama de Venn ilustrando la intersección de familias biológicas (genes base) entre P. melanocephala y P. kuehnii.</w:t>
      </w:r>
    </w:p>
    <w:p>
      <w:pPr>
        <w:pStyle w:val="BodyText"/>
      </w:pPr>
      <w:r>
        <w:t xml:space="preserve">La Roya Café posee apenas 333 familias exclusivas, mientras que la Roya Naranja tiene 235. Esto indica que ambas especies utilizan esencialmente la misma</w:t>
      </w:r>
      <w:r>
        <w:t xml:space="preserve"> </w:t>
      </w:r>
      <w:r>
        <w:t xml:space="preserve">“caja de herramientas biológicas”</w:t>
      </w:r>
      <w:r>
        <w:t xml:space="preserve">, y la inflamación del genoma de</w:t>
      </w:r>
      <w:r>
        <w:t xml:space="preserve"> </w:t>
      </w:r>
      <w:r>
        <w:rPr>
          <w:i/>
          <w:iCs/>
        </w:rPr>
        <w:t xml:space="preserve">P. melanocephala</w:t>
      </w:r>
      <w:r>
        <w:t xml:space="preserve"> </w:t>
      </w:r>
      <w:r>
        <w:t xml:space="preserve">obedece a una estrategia de duplicación masiva, no a la innovación de nuevas funciones.</w:t>
      </w:r>
    </w:p>
    <w:p>
      <w:pPr>
        <w:pStyle w:val="BodyText"/>
      </w:pPr>
      <w:r>
        <w:rPr>
          <w:b/>
          <w:bCs/>
        </w:rPr>
        <w:t xml:space="preserve">Tabla 2.2a: Distribución Funcional de los Genes Base por Categorías COG</w:t>
      </w:r>
      <w:r>
        <w:t xml:space="preserve"> </w:t>
      </w:r>
      <w:r>
        <w:t xml:space="preserve">Al agrupar las familias únicas por su gran categoría metabólica o celular, se evidencia que ambas royas mantienen una complejidad biológica base casi idéntica, destacando la enorme cantidad de</w:t>
      </w:r>
      <w:r>
        <w:t xml:space="preserve"> </w:t>
      </w:r>
      <w:r>
        <w:t xml:space="preserve">“Materia Oscura”</w:t>
      </w:r>
      <w:r>
        <w:t xml:space="preserve"> </w:t>
      </w:r>
      <w:r>
        <w:t xml:space="preserve">(genes especie-específicos sin función conocida en bases de datos).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Macro-Categoría COG</w:t>
            </w:r>
          </w:p>
        </w:tc>
        <w:tc>
          <w:tcPr/>
          <w:p>
            <w:pPr>
              <w:pStyle w:val="Compact"/>
              <w:jc w:val="left"/>
            </w:pPr>
            <w:r>
              <w:t xml:space="preserve">Categoría Biológica Específica</w:t>
            </w:r>
          </w:p>
        </w:tc>
        <w:tc>
          <w:tcPr/>
          <w:p>
            <w:pPr>
              <w:pStyle w:val="Compact"/>
              <w:jc w:val="left"/>
            </w:pPr>
            <w:r>
              <w:t xml:space="preserve">N° Genes Base (Café)</w:t>
            </w:r>
          </w:p>
        </w:tc>
        <w:tc>
          <w:tcPr/>
          <w:p>
            <w:pPr>
              <w:pStyle w:val="Compact"/>
              <w:jc w:val="left"/>
            </w:pPr>
            <w:r>
              <w:t xml:space="preserve">N° Genes Base (Naranja)</w:t>
            </w:r>
          </w:p>
        </w:tc>
      </w:tr>
      <w:tr>
        <w:tc>
          <w:tcPr/>
          <w:p>
            <w:pPr>
              <w:pStyle w:val="Compact"/>
              <w:jc w:val="left"/>
            </w:pPr>
            <w:r>
              <w:rPr>
                <w:b/>
                <w:bCs/>
              </w:rPr>
              <w:t xml:space="preserve">Poco Caracterizados</w:t>
            </w:r>
          </w:p>
        </w:tc>
        <w:tc>
          <w:tcPr/>
          <w:p>
            <w:pPr>
              <w:pStyle w:val="Compact"/>
              <w:jc w:val="left"/>
            </w:pPr>
            <w:r>
              <w:rPr>
                <w:b/>
                <w:bCs/>
              </w:rPr>
              <w:t xml:space="preserve">S:</w:t>
            </w:r>
            <w:r>
              <w:t xml:space="preserve"> </w:t>
            </w:r>
            <w:r>
              <w:t xml:space="preserve">Función Desconocida (Materia oscura)</w:t>
            </w:r>
          </w:p>
        </w:tc>
        <w:tc>
          <w:tcPr/>
          <w:p>
            <w:pPr>
              <w:pStyle w:val="Compact"/>
              <w:jc w:val="left"/>
            </w:pPr>
            <w:r>
              <w:t xml:space="preserve">1,274</w:t>
            </w:r>
          </w:p>
        </w:tc>
        <w:tc>
          <w:tcPr/>
          <w:p>
            <w:pPr>
              <w:pStyle w:val="Compact"/>
              <w:jc w:val="left"/>
            </w:pPr>
            <w:r>
              <w:t xml:space="preserve">1,210</w:t>
            </w:r>
          </w:p>
        </w:tc>
      </w:tr>
      <w:tr>
        <w:tc>
          <w:tcPr/>
          <w:p>
            <w:pPr>
              <w:pStyle w:val="Compact"/>
              <w:jc w:val="left"/>
            </w:pPr>
            <w:r>
              <w:rPr>
                <w:b/>
                <w:bCs/>
              </w:rPr>
              <w:t xml:space="preserve">Procesamiento de Información</w:t>
            </w:r>
          </w:p>
        </w:tc>
        <w:tc>
          <w:tcPr/>
          <w:p>
            <w:pPr>
              <w:pStyle w:val="Compact"/>
              <w:jc w:val="left"/>
            </w:pPr>
            <w:r>
              <w:rPr>
                <w:b/>
                <w:bCs/>
              </w:rPr>
              <w:t xml:space="preserve">J:</w:t>
            </w:r>
            <w:r>
              <w:t xml:space="preserve"> </w:t>
            </w:r>
            <w:r>
              <w:t xml:space="preserve">Traducción y Ribosomas</w:t>
            </w:r>
          </w:p>
        </w:tc>
        <w:tc>
          <w:tcPr/>
          <w:p>
            <w:pPr>
              <w:pStyle w:val="Compact"/>
              <w:jc w:val="left"/>
            </w:pPr>
            <w:r>
              <w:t xml:space="preserve">225</w:t>
            </w:r>
          </w:p>
        </w:tc>
        <w:tc>
          <w:tcPr/>
          <w:p>
            <w:pPr>
              <w:pStyle w:val="Compact"/>
              <w:jc w:val="left"/>
            </w:pPr>
            <w:r>
              <w:t xml:space="preserve">214</w:t>
            </w:r>
          </w:p>
        </w:tc>
      </w:tr>
      <w:tr>
        <w:tc>
          <w:tcPr/>
          <w:p>
            <w:pPr>
              <w:pStyle w:val="Compact"/>
              <w:jc w:val="left"/>
            </w:pPr>
            <w:r>
              <w:rPr>
                <w:b/>
                <w:bCs/>
              </w:rPr>
              <w:t xml:space="preserve">Procesos Celulares y Señalización</w:t>
            </w:r>
          </w:p>
        </w:tc>
        <w:tc>
          <w:tcPr/>
          <w:p>
            <w:pPr>
              <w:pStyle w:val="Compact"/>
              <w:jc w:val="left"/>
            </w:pPr>
            <w:r>
              <w:rPr>
                <w:b/>
                <w:bCs/>
              </w:rPr>
              <w:t xml:space="preserve">U:</w:t>
            </w:r>
            <w:r>
              <w:t xml:space="preserve"> </w:t>
            </w:r>
            <w:r>
              <w:t xml:space="preserve">Tráfico Intracelular y Vesicular</w:t>
            </w:r>
          </w:p>
        </w:tc>
        <w:tc>
          <w:tcPr/>
          <w:p>
            <w:pPr>
              <w:pStyle w:val="Compact"/>
              <w:jc w:val="left"/>
            </w:pPr>
            <w:r>
              <w:t xml:space="preserve">217</w:t>
            </w:r>
          </w:p>
        </w:tc>
        <w:tc>
          <w:tcPr/>
          <w:p>
            <w:pPr>
              <w:pStyle w:val="Compact"/>
              <w:jc w:val="left"/>
            </w:pPr>
            <w:r>
              <w:t xml:space="preserve">207</w:t>
            </w:r>
          </w:p>
        </w:tc>
      </w:tr>
      <w:tr>
        <w:tc>
          <w:tcPr/>
          <w:p>
            <w:pPr>
              <w:pStyle w:val="Compact"/>
              <w:jc w:val="left"/>
            </w:pPr>
            <w:r>
              <w:rPr>
                <w:b/>
                <w:bCs/>
              </w:rPr>
              <w:t xml:space="preserve">Procesos Celulares y Señalización</w:t>
            </w:r>
          </w:p>
        </w:tc>
        <w:tc>
          <w:tcPr/>
          <w:p>
            <w:pPr>
              <w:pStyle w:val="Compact"/>
              <w:jc w:val="left"/>
            </w:pPr>
            <w:r>
              <w:rPr>
                <w:b/>
                <w:bCs/>
              </w:rPr>
              <w:t xml:space="preserve">O:</w:t>
            </w:r>
            <w:r>
              <w:t xml:space="preserve"> </w:t>
            </w:r>
            <w:r>
              <w:t xml:space="preserve">Plegamiento y Modificación de Proteínas</w:t>
            </w:r>
          </w:p>
        </w:tc>
        <w:tc>
          <w:tcPr/>
          <w:p>
            <w:pPr>
              <w:pStyle w:val="Compact"/>
              <w:jc w:val="left"/>
            </w:pPr>
            <w:r>
              <w:t xml:space="preserve">197</w:t>
            </w:r>
          </w:p>
        </w:tc>
        <w:tc>
          <w:tcPr/>
          <w:p>
            <w:pPr>
              <w:pStyle w:val="Compact"/>
              <w:jc w:val="left"/>
            </w:pPr>
            <w:r>
              <w:t xml:space="preserve">213</w:t>
            </w:r>
          </w:p>
        </w:tc>
      </w:tr>
      <w:tr>
        <w:tc>
          <w:tcPr/>
          <w:p>
            <w:pPr>
              <w:pStyle w:val="Compact"/>
              <w:jc w:val="left"/>
            </w:pPr>
            <w:r>
              <w:rPr>
                <w:b/>
                <w:bCs/>
              </w:rPr>
              <w:t xml:space="preserve">Procesamiento de Información</w:t>
            </w:r>
          </w:p>
        </w:tc>
        <w:tc>
          <w:tcPr/>
          <w:p>
            <w:pPr>
              <w:pStyle w:val="Compact"/>
              <w:jc w:val="left"/>
            </w:pPr>
            <w:r>
              <w:rPr>
                <w:b/>
                <w:bCs/>
              </w:rPr>
              <w:t xml:space="preserve">A:</w:t>
            </w:r>
            <w:r>
              <w:t xml:space="preserve"> </w:t>
            </w:r>
            <w:r>
              <w:t xml:space="preserve">Procesamiento de ARN</w:t>
            </w:r>
          </w:p>
        </w:tc>
        <w:tc>
          <w:tcPr/>
          <w:p>
            <w:pPr>
              <w:pStyle w:val="Compact"/>
              <w:jc w:val="left"/>
            </w:pPr>
            <w:r>
              <w:t xml:space="preserve">185</w:t>
            </w:r>
          </w:p>
        </w:tc>
        <w:tc>
          <w:tcPr/>
          <w:p>
            <w:pPr>
              <w:pStyle w:val="Compact"/>
              <w:jc w:val="left"/>
            </w:pPr>
            <w:r>
              <w:t xml:space="preserve">185</w:t>
            </w:r>
          </w:p>
        </w:tc>
      </w:tr>
      <w:tr>
        <w:tc>
          <w:tcPr/>
          <w:p>
            <w:pPr>
              <w:pStyle w:val="Compact"/>
              <w:jc w:val="left"/>
            </w:pPr>
            <w:r>
              <w:rPr>
                <w:b/>
                <w:bCs/>
              </w:rPr>
              <w:t xml:space="preserve">Procesamiento de Información</w:t>
            </w:r>
          </w:p>
        </w:tc>
        <w:tc>
          <w:tcPr/>
          <w:p>
            <w:pPr>
              <w:pStyle w:val="Compact"/>
              <w:jc w:val="left"/>
            </w:pPr>
            <w:r>
              <w:rPr>
                <w:b/>
                <w:bCs/>
              </w:rPr>
              <w:t xml:space="preserve">K:</w:t>
            </w:r>
            <w:r>
              <w:t xml:space="preserve"> </w:t>
            </w:r>
            <w:r>
              <w:t xml:space="preserve">Transcripción (Factores y regulación)</w:t>
            </w:r>
          </w:p>
        </w:tc>
        <w:tc>
          <w:tcPr/>
          <w:p>
            <w:pPr>
              <w:pStyle w:val="Compact"/>
              <w:jc w:val="left"/>
            </w:pPr>
            <w:r>
              <w:t xml:space="preserve">164</w:t>
            </w:r>
          </w:p>
        </w:tc>
        <w:tc>
          <w:tcPr/>
          <w:p>
            <w:pPr>
              <w:pStyle w:val="Compact"/>
              <w:jc w:val="left"/>
            </w:pPr>
            <w:r>
              <w:t xml:space="preserve">157</w:t>
            </w:r>
          </w:p>
        </w:tc>
      </w:tr>
      <w:tr>
        <w:tc>
          <w:tcPr/>
          <w:p>
            <w:pPr>
              <w:pStyle w:val="Compact"/>
              <w:jc w:val="left"/>
            </w:pPr>
            <w:r>
              <w:rPr>
                <w:b/>
                <w:bCs/>
              </w:rPr>
              <w:t xml:space="preserve">Procesos Celulares y Señalización</w:t>
            </w:r>
          </w:p>
        </w:tc>
        <w:tc>
          <w:tcPr/>
          <w:p>
            <w:pPr>
              <w:pStyle w:val="Compact"/>
              <w:jc w:val="left"/>
            </w:pPr>
            <w:r>
              <w:rPr>
                <w:b/>
                <w:bCs/>
              </w:rPr>
              <w:t xml:space="preserve">T:</w:t>
            </w:r>
            <w:r>
              <w:t xml:space="preserve"> </w:t>
            </w:r>
            <w:r>
              <w:t xml:space="preserve">Transducción de Señales (Quinasas)</w:t>
            </w:r>
          </w:p>
        </w:tc>
        <w:tc>
          <w:tcPr/>
          <w:p>
            <w:pPr>
              <w:pStyle w:val="Compact"/>
              <w:jc w:val="left"/>
            </w:pPr>
            <w:r>
              <w:t xml:space="preserve">142</w:t>
            </w:r>
          </w:p>
        </w:tc>
        <w:tc>
          <w:tcPr/>
          <w:p>
            <w:pPr>
              <w:pStyle w:val="Compact"/>
              <w:jc w:val="left"/>
            </w:pPr>
            <w:r>
              <w:t xml:space="preserve">137</w:t>
            </w:r>
          </w:p>
        </w:tc>
      </w:tr>
      <w:tr>
        <w:tc>
          <w:tcPr/>
          <w:p>
            <w:pPr>
              <w:pStyle w:val="Compact"/>
              <w:jc w:val="left"/>
            </w:pPr>
            <w:r>
              <w:rPr>
                <w:b/>
                <w:bCs/>
              </w:rPr>
              <w:t xml:space="preserve">Metabolismo</w:t>
            </w:r>
          </w:p>
        </w:tc>
        <w:tc>
          <w:tcPr/>
          <w:p>
            <w:pPr>
              <w:pStyle w:val="Compact"/>
              <w:jc w:val="left"/>
            </w:pPr>
            <w:r>
              <w:rPr>
                <w:b/>
                <w:bCs/>
              </w:rPr>
              <w:t xml:space="preserve">E:</w:t>
            </w:r>
            <w:r>
              <w:t xml:space="preserve"> </w:t>
            </w:r>
            <w:r>
              <w:t xml:space="preserve">Metabolismo de Aminoácidos</w:t>
            </w:r>
          </w:p>
        </w:tc>
        <w:tc>
          <w:tcPr/>
          <w:p>
            <w:pPr>
              <w:pStyle w:val="Compact"/>
              <w:jc w:val="left"/>
            </w:pPr>
            <w:r>
              <w:t xml:space="preserve">132</w:t>
            </w:r>
          </w:p>
        </w:tc>
        <w:tc>
          <w:tcPr/>
          <w:p>
            <w:pPr>
              <w:pStyle w:val="Compact"/>
              <w:jc w:val="left"/>
            </w:pPr>
            <w:r>
              <w:t xml:space="preserve">126</w:t>
            </w:r>
          </w:p>
        </w:tc>
      </w:tr>
      <w:tr>
        <w:tc>
          <w:tcPr/>
          <w:p>
            <w:pPr>
              <w:pStyle w:val="Compact"/>
              <w:jc w:val="left"/>
            </w:pPr>
            <w:r>
              <w:rPr>
                <w:b/>
                <w:bCs/>
              </w:rPr>
              <w:t xml:space="preserve">Metabolismo</w:t>
            </w:r>
          </w:p>
        </w:tc>
        <w:tc>
          <w:tcPr/>
          <w:p>
            <w:pPr>
              <w:pStyle w:val="Compact"/>
              <w:jc w:val="left"/>
            </w:pPr>
            <w:r>
              <w:rPr>
                <w:b/>
                <w:bCs/>
              </w:rPr>
              <w:t xml:space="preserve">G:</w:t>
            </w:r>
            <w:r>
              <w:t xml:space="preserve"> </w:t>
            </w:r>
            <w:r>
              <w:t xml:space="preserve">Metabolismo de Carbohidratos</w:t>
            </w:r>
          </w:p>
        </w:tc>
        <w:tc>
          <w:tcPr/>
          <w:p>
            <w:pPr>
              <w:pStyle w:val="Compact"/>
              <w:jc w:val="left"/>
            </w:pPr>
            <w:r>
              <w:t xml:space="preserve">131</w:t>
            </w:r>
          </w:p>
        </w:tc>
        <w:tc>
          <w:tcPr/>
          <w:p>
            <w:pPr>
              <w:pStyle w:val="Compact"/>
              <w:jc w:val="left"/>
            </w:pPr>
            <w:r>
              <w:t xml:space="preserve">133</w:t>
            </w:r>
          </w:p>
        </w:tc>
      </w:tr>
      <w:tr>
        <w:tc>
          <w:tcPr/>
          <w:p>
            <w:pPr>
              <w:pStyle w:val="Compact"/>
              <w:jc w:val="left"/>
            </w:pPr>
            <w:r>
              <w:rPr>
                <w:b/>
                <w:bCs/>
              </w:rPr>
              <w:t xml:space="preserve">Metabolismo</w:t>
            </w:r>
          </w:p>
        </w:tc>
        <w:tc>
          <w:tcPr/>
          <w:p>
            <w:pPr>
              <w:pStyle w:val="Compact"/>
              <w:jc w:val="left"/>
            </w:pPr>
            <w:r>
              <w:rPr>
                <w:b/>
                <w:bCs/>
              </w:rPr>
              <w:t xml:space="preserve">C:</w:t>
            </w:r>
            <w:r>
              <w:t xml:space="preserve"> </w:t>
            </w:r>
            <w:r>
              <w:t xml:space="preserve">Producción de Energía (ATP)</w:t>
            </w:r>
          </w:p>
        </w:tc>
        <w:tc>
          <w:tcPr/>
          <w:p>
            <w:pPr>
              <w:pStyle w:val="Compact"/>
              <w:jc w:val="left"/>
            </w:pPr>
            <w:r>
              <w:t xml:space="preserve">118</w:t>
            </w:r>
          </w:p>
        </w:tc>
        <w:tc>
          <w:tcPr/>
          <w:p>
            <w:pPr>
              <w:pStyle w:val="Compact"/>
              <w:jc w:val="left"/>
            </w:pPr>
            <w:r>
              <w:t xml:space="preserve">117</w:t>
            </w:r>
          </w:p>
        </w:tc>
      </w:tr>
      <w:tr>
        <w:tc>
          <w:tcPr/>
          <w:p>
            <w:pPr>
              <w:pStyle w:val="Compact"/>
              <w:jc w:val="left"/>
            </w:pPr>
            <w:r>
              <w:rPr>
                <w:b/>
                <w:bCs/>
              </w:rPr>
              <w:t xml:space="preserve">Metabolismo</w:t>
            </w:r>
          </w:p>
        </w:tc>
        <w:tc>
          <w:tcPr/>
          <w:p>
            <w:pPr>
              <w:pStyle w:val="Compact"/>
              <w:jc w:val="left"/>
            </w:pPr>
            <w:r>
              <w:rPr>
                <w:b/>
                <w:bCs/>
              </w:rPr>
              <w:t xml:space="preserve">I:</w:t>
            </w:r>
            <w:r>
              <w:t xml:space="preserve"> </w:t>
            </w:r>
            <w:r>
              <w:t xml:space="preserve">Metabolismo de Lípidos</w:t>
            </w:r>
          </w:p>
        </w:tc>
        <w:tc>
          <w:tcPr/>
          <w:p>
            <w:pPr>
              <w:pStyle w:val="Compact"/>
              <w:jc w:val="left"/>
            </w:pPr>
            <w:r>
              <w:t xml:space="preserve">116</w:t>
            </w:r>
          </w:p>
        </w:tc>
        <w:tc>
          <w:tcPr/>
          <w:p>
            <w:pPr>
              <w:pStyle w:val="Compact"/>
              <w:jc w:val="left"/>
            </w:pPr>
            <w:r>
              <w:t xml:space="preserve">116</w:t>
            </w:r>
          </w:p>
        </w:tc>
      </w:tr>
      <w:tr>
        <w:tc>
          <w:tcPr/>
          <w:p>
            <w:pPr>
              <w:pStyle w:val="Compact"/>
              <w:jc w:val="left"/>
            </w:pPr>
            <w:r>
              <w:rPr>
                <w:b/>
                <w:bCs/>
              </w:rPr>
              <w:t xml:space="preserve">Procesamiento de Información</w:t>
            </w:r>
          </w:p>
        </w:tc>
        <w:tc>
          <w:tcPr/>
          <w:p>
            <w:pPr>
              <w:pStyle w:val="Compact"/>
              <w:jc w:val="left"/>
            </w:pPr>
            <w:r>
              <w:rPr>
                <w:b/>
                <w:bCs/>
              </w:rPr>
              <w:t xml:space="preserve">L:</w:t>
            </w:r>
            <w:r>
              <w:t xml:space="preserve"> </w:t>
            </w:r>
            <w:r>
              <w:t xml:space="preserve">Replicación y Reparación del ADN</w:t>
            </w:r>
          </w:p>
        </w:tc>
        <w:tc>
          <w:tcPr/>
          <w:p>
            <w:pPr>
              <w:pStyle w:val="Compact"/>
              <w:jc w:val="left"/>
            </w:pPr>
            <w:r>
              <w:t xml:space="preserve">100</w:t>
            </w:r>
          </w:p>
        </w:tc>
        <w:tc>
          <w:tcPr/>
          <w:p>
            <w:pPr>
              <w:pStyle w:val="Compact"/>
              <w:jc w:val="left"/>
            </w:pPr>
            <w:r>
              <w:t xml:space="preserve">98</w:t>
            </w:r>
          </w:p>
        </w:tc>
      </w:tr>
      <w:tr>
        <w:tc>
          <w:tcPr/>
          <w:p>
            <w:pPr>
              <w:pStyle w:val="Compact"/>
              <w:jc w:val="left"/>
            </w:pPr>
            <w:r>
              <w:rPr>
                <w:b/>
                <w:bCs/>
              </w:rPr>
              <w:t xml:space="preserve">Procesos Celulares y Señalización</w:t>
            </w:r>
          </w:p>
        </w:tc>
        <w:tc>
          <w:tcPr/>
          <w:p>
            <w:pPr>
              <w:pStyle w:val="Compact"/>
              <w:jc w:val="left"/>
            </w:pPr>
            <w:r>
              <w:rPr>
                <w:b/>
                <w:bCs/>
              </w:rPr>
              <w:t xml:space="preserve">D:</w:t>
            </w:r>
            <w:r>
              <w:t xml:space="preserve"> </w:t>
            </w:r>
            <w:r>
              <w:t xml:space="preserve">Ciclo Celular y División</w:t>
            </w:r>
          </w:p>
        </w:tc>
        <w:tc>
          <w:tcPr/>
          <w:p>
            <w:pPr>
              <w:pStyle w:val="Compact"/>
              <w:jc w:val="left"/>
            </w:pPr>
            <w:r>
              <w:t xml:space="preserve">94</w:t>
            </w:r>
          </w:p>
        </w:tc>
        <w:tc>
          <w:tcPr/>
          <w:p>
            <w:pPr>
              <w:pStyle w:val="Compact"/>
              <w:jc w:val="left"/>
            </w:pPr>
            <w:r>
              <w:t xml:space="preserve">90</w:t>
            </w:r>
          </w:p>
        </w:tc>
      </w:tr>
      <w:tr>
        <w:tc>
          <w:tcPr/>
          <w:p>
            <w:pPr>
              <w:pStyle w:val="Compact"/>
              <w:jc w:val="left"/>
            </w:pPr>
            <w:r>
              <w:rPr>
                <w:b/>
                <w:bCs/>
              </w:rPr>
              <w:t xml:space="preserve">Procesos Celulares y Señalización</w:t>
            </w:r>
          </w:p>
        </w:tc>
        <w:tc>
          <w:tcPr/>
          <w:p>
            <w:pPr>
              <w:pStyle w:val="Compact"/>
              <w:jc w:val="left"/>
            </w:pPr>
            <w:r>
              <w:rPr>
                <w:b/>
                <w:bCs/>
              </w:rPr>
              <w:t xml:space="preserve">M:</w:t>
            </w:r>
            <w:r>
              <w:t xml:space="preserve"> </w:t>
            </w:r>
            <w:r>
              <w:t xml:space="preserve">Biogénesis de Pared Celular</w:t>
            </w:r>
          </w:p>
        </w:tc>
        <w:tc>
          <w:tcPr/>
          <w:p>
            <w:pPr>
              <w:pStyle w:val="Compact"/>
              <w:jc w:val="left"/>
            </w:pPr>
            <w:r>
              <w:t xml:space="preserve">30</w:t>
            </w:r>
          </w:p>
        </w:tc>
        <w:tc>
          <w:tcPr/>
          <w:p>
            <w:pPr>
              <w:pStyle w:val="Compact"/>
              <w:jc w:val="left"/>
            </w:pPr>
            <w:r>
              <w:t xml:space="preserve">29</w:t>
            </w:r>
          </w:p>
        </w:tc>
      </w:tr>
      <w:tr>
        <w:tc>
          <w:tcPr/>
          <w:p>
            <w:pPr>
              <w:pStyle w:val="Compact"/>
              <w:jc w:val="left"/>
            </w:pPr>
            <w:r>
              <w:rPr>
                <w:b/>
                <w:bCs/>
              </w:rPr>
              <w:t xml:space="preserve">Procesos Celulares y Señalización</w:t>
            </w:r>
          </w:p>
        </w:tc>
        <w:tc>
          <w:tcPr/>
          <w:p>
            <w:pPr>
              <w:pStyle w:val="Compact"/>
              <w:jc w:val="left"/>
            </w:pPr>
            <w:r>
              <w:rPr>
                <w:b/>
                <w:bCs/>
              </w:rPr>
              <w:t xml:space="preserve">V:</w:t>
            </w:r>
            <w:r>
              <w:t xml:space="preserve"> </w:t>
            </w:r>
            <w:r>
              <w:t xml:space="preserve">Defensa Celular (Toxinas y resistencia)</w:t>
            </w:r>
          </w:p>
        </w:tc>
        <w:tc>
          <w:tcPr/>
          <w:p>
            <w:pPr>
              <w:pStyle w:val="Compact"/>
              <w:jc w:val="left"/>
            </w:pPr>
            <w:r>
              <w:t xml:space="preserve">12</w:t>
            </w:r>
          </w:p>
        </w:tc>
        <w:tc>
          <w:tcPr/>
          <w:p>
            <w:pPr>
              <w:pStyle w:val="Compact"/>
              <w:jc w:val="left"/>
            </w:pPr>
            <w:r>
              <w:t xml:space="preserve">13</w:t>
            </w:r>
          </w:p>
        </w:tc>
      </w:tr>
    </w:tbl>
    <w:p>
      <w:pPr>
        <w:pStyle w:val="BodyText"/>
      </w:pPr>
      <w:r>
        <w:rPr>
          <w:b/>
          <w:bCs/>
        </w:rPr>
        <w:t xml:space="preserve">Tabla 2.2b: Perfil Funcional Específico (Clasificación GO Slim)</w:t>
      </w:r>
      <w:r>
        <w:t xml:space="preserve"> </w:t>
      </w:r>
      <w:r>
        <w:t xml:space="preserve">Para corroborar este perfil con la nomenclatura estándar del consorcio de</w:t>
      </w:r>
      <w:r>
        <w:t xml:space="preserve"> </w:t>
      </w:r>
      <w:r>
        <w:rPr>
          <w:i/>
          <w:iCs/>
        </w:rPr>
        <w:t xml:space="preserve">Gene Ontology</w:t>
      </w:r>
      <w:r>
        <w:t xml:space="preserve">, se mapearon las anotaciones crudas eliminando las jerarquías genéricas redundantes (mediante el subset GO Slim). Los resultados más abundantes confirman la profunda conservación del aparato celular, nuclear y catalítico entre ambos patógenos.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Aspecto Principal (GO)</w:t>
            </w:r>
          </w:p>
        </w:tc>
        <w:tc>
          <w:tcPr/>
          <w:p>
            <w:pPr>
              <w:pStyle w:val="Compact"/>
              <w:jc w:val="left"/>
            </w:pPr>
            <w:r>
              <w:t xml:space="preserve">Término GO Slim</w:t>
            </w:r>
          </w:p>
        </w:tc>
        <w:tc>
          <w:tcPr/>
          <w:p>
            <w:pPr>
              <w:pStyle w:val="Compact"/>
              <w:jc w:val="left"/>
            </w:pPr>
            <w:r>
              <w:t xml:space="preserve">Descripción de la Función</w:t>
            </w:r>
          </w:p>
        </w:tc>
        <w:tc>
          <w:tcPr/>
          <w:p>
            <w:pPr>
              <w:pStyle w:val="Compact"/>
              <w:jc w:val="left"/>
            </w:pPr>
            <w:r>
              <w:t xml:space="preserve">N° Genes Base (Café)</w:t>
            </w:r>
          </w:p>
        </w:tc>
        <w:tc>
          <w:tcPr/>
          <w:p>
            <w:pPr>
              <w:pStyle w:val="Compact"/>
              <w:jc w:val="left"/>
            </w:pPr>
            <w:r>
              <w:t xml:space="preserve">N° Genes Base (Naranja)</w:t>
            </w:r>
          </w:p>
        </w:tc>
      </w:tr>
      <w:tr>
        <w:tc>
          <w:tcPr/>
          <w:p>
            <w:pPr>
              <w:pStyle w:val="Compact"/>
              <w:jc w:val="left"/>
            </w:pPr>
            <w:r>
              <w:rPr>
                <w:b/>
                <w:bCs/>
              </w:rPr>
              <w:t xml:space="preserve">Componente Celular (CC)</w:t>
            </w:r>
          </w:p>
        </w:tc>
        <w:tc>
          <w:tcPr/>
          <w:p>
            <w:pPr>
              <w:pStyle w:val="Compact"/>
              <w:jc w:val="left"/>
            </w:pPr>
            <w:r>
              <w:rPr>
                <w:b/>
                <w:bCs/>
              </w:rPr>
              <w:t xml:space="preserve">GO:0005634</w:t>
            </w:r>
          </w:p>
        </w:tc>
        <w:tc>
          <w:tcPr/>
          <w:p>
            <w:pPr>
              <w:pStyle w:val="Compact"/>
              <w:jc w:val="left"/>
            </w:pPr>
            <w:r>
              <w:t xml:space="preserve">nucleus</w:t>
            </w:r>
            <w:r>
              <w:t xml:space="preserve"> </w:t>
            </w:r>
            <w:r>
              <w:rPr>
                <w:i/>
                <w:iCs/>
              </w:rPr>
              <w:t xml:space="preserve">(Núcleo celular)</w:t>
            </w:r>
          </w:p>
        </w:tc>
        <w:tc>
          <w:tcPr/>
          <w:p>
            <w:pPr>
              <w:pStyle w:val="Compact"/>
              <w:jc w:val="left"/>
            </w:pPr>
            <w:r>
              <w:t xml:space="preserve">934</w:t>
            </w:r>
          </w:p>
        </w:tc>
        <w:tc>
          <w:tcPr/>
          <w:p>
            <w:pPr>
              <w:pStyle w:val="Compact"/>
              <w:jc w:val="left"/>
            </w:pPr>
            <w:r>
              <w:t xml:space="preserve">918</w:t>
            </w:r>
          </w:p>
        </w:tc>
      </w:tr>
      <w:tr>
        <w:tc>
          <w:tcPr/>
          <w:p>
            <w:pPr>
              <w:pStyle w:val="Compact"/>
              <w:jc w:val="left"/>
            </w:pPr>
            <w:r>
              <w:rPr>
                <w:b/>
                <w:bCs/>
              </w:rPr>
              <w:t xml:space="preserve">Función Molecular (MF)</w:t>
            </w:r>
          </w:p>
        </w:tc>
        <w:tc>
          <w:tcPr/>
          <w:p>
            <w:pPr>
              <w:pStyle w:val="Compact"/>
              <w:jc w:val="left"/>
            </w:pPr>
            <w:r>
              <w:rPr>
                <w:b/>
                <w:bCs/>
              </w:rPr>
              <w:t xml:space="preserve">GO:0003824</w:t>
            </w:r>
          </w:p>
        </w:tc>
        <w:tc>
          <w:tcPr/>
          <w:p>
            <w:pPr>
              <w:pStyle w:val="Compact"/>
              <w:jc w:val="left"/>
            </w:pPr>
            <w:r>
              <w:t xml:space="preserve">catalytic activity</w:t>
            </w:r>
            <w:r>
              <w:t xml:space="preserve"> </w:t>
            </w:r>
            <w:r>
              <w:rPr>
                <w:i/>
                <w:iCs/>
              </w:rPr>
              <w:t xml:space="preserve">(Actividad catalítica general)</w:t>
            </w:r>
          </w:p>
        </w:tc>
        <w:tc>
          <w:tcPr/>
          <w:p>
            <w:pPr>
              <w:pStyle w:val="Compact"/>
              <w:jc w:val="left"/>
            </w:pPr>
            <w:r>
              <w:t xml:space="preserve">888</w:t>
            </w:r>
          </w:p>
        </w:tc>
        <w:tc>
          <w:tcPr/>
          <w:p>
            <w:pPr>
              <w:pStyle w:val="Compact"/>
              <w:jc w:val="left"/>
            </w:pPr>
            <w:r>
              <w:t xml:space="preserve">880</w:t>
            </w:r>
          </w:p>
        </w:tc>
      </w:tr>
      <w:tr>
        <w:tc>
          <w:tcPr/>
          <w:p>
            <w:pPr>
              <w:pStyle w:val="Compact"/>
              <w:jc w:val="left"/>
            </w:pPr>
            <w:r>
              <w:rPr>
                <w:b/>
                <w:bCs/>
              </w:rPr>
              <w:t xml:space="preserve">Componente Celular (CC)</w:t>
            </w:r>
          </w:p>
        </w:tc>
        <w:tc>
          <w:tcPr/>
          <w:p>
            <w:pPr>
              <w:pStyle w:val="Compact"/>
              <w:jc w:val="left"/>
            </w:pPr>
            <w:r>
              <w:rPr>
                <w:b/>
                <w:bCs/>
              </w:rPr>
              <w:t xml:space="preserve">GO:0005739</w:t>
            </w:r>
          </w:p>
        </w:tc>
        <w:tc>
          <w:tcPr/>
          <w:p>
            <w:pPr>
              <w:pStyle w:val="Compact"/>
              <w:jc w:val="left"/>
            </w:pPr>
            <w:r>
              <w:t xml:space="preserve">mitochondrion</w:t>
            </w:r>
            <w:r>
              <w:t xml:space="preserve"> </w:t>
            </w:r>
            <w:r>
              <w:rPr>
                <w:i/>
                <w:iCs/>
              </w:rPr>
              <w:t xml:space="preserve">(Mitocondria)</w:t>
            </w:r>
          </w:p>
        </w:tc>
        <w:tc>
          <w:tcPr/>
          <w:p>
            <w:pPr>
              <w:pStyle w:val="Compact"/>
              <w:jc w:val="left"/>
            </w:pPr>
            <w:r>
              <w:t xml:space="preserve">530</w:t>
            </w:r>
          </w:p>
        </w:tc>
        <w:tc>
          <w:tcPr/>
          <w:p>
            <w:pPr>
              <w:pStyle w:val="Compact"/>
              <w:jc w:val="left"/>
            </w:pPr>
            <w:r>
              <w:t xml:space="preserve">520</w:t>
            </w:r>
          </w:p>
        </w:tc>
      </w:tr>
      <w:tr>
        <w:tc>
          <w:tcPr/>
          <w:p>
            <w:pPr>
              <w:pStyle w:val="Compact"/>
              <w:jc w:val="left"/>
            </w:pPr>
            <w:r>
              <w:rPr>
                <w:b/>
                <w:bCs/>
              </w:rPr>
              <w:t xml:space="preserve">Componente Celular (CC)</w:t>
            </w:r>
          </w:p>
        </w:tc>
        <w:tc>
          <w:tcPr/>
          <w:p>
            <w:pPr>
              <w:pStyle w:val="Compact"/>
              <w:jc w:val="left"/>
            </w:pPr>
            <w:r>
              <w:rPr>
                <w:b/>
                <w:bCs/>
              </w:rPr>
              <w:t xml:space="preserve">GO:0005829</w:t>
            </w:r>
          </w:p>
        </w:tc>
        <w:tc>
          <w:tcPr/>
          <w:p>
            <w:pPr>
              <w:pStyle w:val="Compact"/>
              <w:jc w:val="left"/>
            </w:pPr>
            <w:r>
              <w:t xml:space="preserve">cytosol</w:t>
            </w:r>
            <w:r>
              <w:t xml:space="preserve"> </w:t>
            </w:r>
            <w:r>
              <w:rPr>
                <w:i/>
                <w:iCs/>
              </w:rPr>
              <w:t xml:space="preserve">(Citosol)</w:t>
            </w:r>
          </w:p>
        </w:tc>
        <w:tc>
          <w:tcPr/>
          <w:p>
            <w:pPr>
              <w:pStyle w:val="Compact"/>
              <w:jc w:val="left"/>
            </w:pPr>
            <w:r>
              <w:t xml:space="preserve">432</w:t>
            </w:r>
          </w:p>
        </w:tc>
        <w:tc>
          <w:tcPr/>
          <w:p>
            <w:pPr>
              <w:pStyle w:val="Compact"/>
              <w:jc w:val="left"/>
            </w:pPr>
            <w:r>
              <w:t xml:space="preserve">420</w:t>
            </w:r>
          </w:p>
        </w:tc>
      </w:tr>
      <w:tr>
        <w:tc>
          <w:tcPr/>
          <w:p>
            <w:pPr>
              <w:pStyle w:val="Compact"/>
              <w:jc w:val="left"/>
            </w:pPr>
            <w:r>
              <w:rPr>
                <w:b/>
                <w:bCs/>
              </w:rPr>
              <w:t xml:space="preserve">Función Molecular (MF)</w:t>
            </w:r>
          </w:p>
        </w:tc>
        <w:tc>
          <w:tcPr/>
          <w:p>
            <w:pPr>
              <w:pStyle w:val="Compact"/>
              <w:jc w:val="left"/>
            </w:pPr>
            <w:r>
              <w:rPr>
                <w:b/>
                <w:bCs/>
              </w:rPr>
              <w:t xml:space="preserve">GO:0016740</w:t>
            </w:r>
          </w:p>
        </w:tc>
        <w:tc>
          <w:tcPr/>
          <w:p>
            <w:pPr>
              <w:pStyle w:val="Compact"/>
              <w:jc w:val="left"/>
            </w:pPr>
            <w:r>
              <w:t xml:space="preserve">transferase activity</w:t>
            </w:r>
            <w:r>
              <w:t xml:space="preserve"> </w:t>
            </w:r>
            <w:r>
              <w:rPr>
                <w:i/>
                <w:iCs/>
              </w:rPr>
              <w:t xml:space="preserve">(Actividad transferasa)</w:t>
            </w:r>
          </w:p>
        </w:tc>
        <w:tc>
          <w:tcPr/>
          <w:p>
            <w:pPr>
              <w:pStyle w:val="Compact"/>
              <w:jc w:val="left"/>
            </w:pPr>
            <w:r>
              <w:t xml:space="preserve">388</w:t>
            </w:r>
          </w:p>
        </w:tc>
        <w:tc>
          <w:tcPr/>
          <w:p>
            <w:pPr>
              <w:pStyle w:val="Compact"/>
              <w:jc w:val="left"/>
            </w:pPr>
            <w:r>
              <w:t xml:space="preserve">375</w:t>
            </w:r>
          </w:p>
        </w:tc>
      </w:tr>
      <w:tr>
        <w:tc>
          <w:tcPr/>
          <w:p>
            <w:pPr>
              <w:pStyle w:val="Compact"/>
              <w:jc w:val="left"/>
            </w:pPr>
            <w:r>
              <w:rPr>
                <w:b/>
                <w:bCs/>
              </w:rPr>
              <w:t xml:space="preserve">Función Molecular (MF)</w:t>
            </w:r>
          </w:p>
        </w:tc>
        <w:tc>
          <w:tcPr/>
          <w:p>
            <w:pPr>
              <w:pStyle w:val="Compact"/>
              <w:jc w:val="left"/>
            </w:pPr>
            <w:r>
              <w:rPr>
                <w:b/>
                <w:bCs/>
              </w:rPr>
              <w:t xml:space="preserve">GO:0016787</w:t>
            </w:r>
          </w:p>
        </w:tc>
        <w:tc>
          <w:tcPr/>
          <w:p>
            <w:pPr>
              <w:pStyle w:val="Compact"/>
              <w:jc w:val="left"/>
            </w:pPr>
            <w:r>
              <w:t xml:space="preserve">hydrolase activity</w:t>
            </w:r>
            <w:r>
              <w:t xml:space="preserve"> </w:t>
            </w:r>
            <w:r>
              <w:rPr>
                <w:i/>
                <w:iCs/>
              </w:rPr>
              <w:t xml:space="preserve">(Actividad hidrolasa)</w:t>
            </w:r>
          </w:p>
        </w:tc>
        <w:tc>
          <w:tcPr/>
          <w:p>
            <w:pPr>
              <w:pStyle w:val="Compact"/>
              <w:jc w:val="left"/>
            </w:pPr>
            <w:r>
              <w:t xml:space="preserve">334</w:t>
            </w:r>
          </w:p>
        </w:tc>
        <w:tc>
          <w:tcPr/>
          <w:p>
            <w:pPr>
              <w:pStyle w:val="Compact"/>
              <w:jc w:val="left"/>
            </w:pPr>
            <w:r>
              <w:t xml:space="preserve">338</w:t>
            </w:r>
          </w:p>
        </w:tc>
      </w:tr>
      <w:tr>
        <w:tc>
          <w:tcPr/>
          <w:p>
            <w:pPr>
              <w:pStyle w:val="Compact"/>
              <w:jc w:val="left"/>
            </w:pPr>
            <w:r>
              <w:rPr>
                <w:b/>
                <w:bCs/>
              </w:rPr>
              <w:t xml:space="preserve">Proceso Biológico (BP)</w:t>
            </w:r>
          </w:p>
        </w:tc>
        <w:tc>
          <w:tcPr/>
          <w:p>
            <w:pPr>
              <w:pStyle w:val="Compact"/>
              <w:jc w:val="left"/>
            </w:pPr>
            <w:r>
              <w:rPr>
                <w:b/>
                <w:bCs/>
              </w:rPr>
              <w:t xml:space="preserve">GO:0006886</w:t>
            </w:r>
          </w:p>
        </w:tc>
        <w:tc>
          <w:tcPr/>
          <w:p>
            <w:pPr>
              <w:pStyle w:val="Compact"/>
              <w:jc w:val="left"/>
            </w:pPr>
            <w:r>
              <w:t xml:space="preserve">intracellular protein transport</w:t>
            </w:r>
            <w:r>
              <w:t xml:space="preserve"> </w:t>
            </w:r>
            <w:r>
              <w:rPr>
                <w:i/>
                <w:iCs/>
              </w:rPr>
              <w:t xml:space="preserve">(Transporte de proteínas)</w:t>
            </w:r>
          </w:p>
        </w:tc>
        <w:tc>
          <w:tcPr/>
          <w:p>
            <w:pPr>
              <w:pStyle w:val="Compact"/>
              <w:jc w:val="left"/>
            </w:pPr>
            <w:r>
              <w:t xml:space="preserve">302</w:t>
            </w:r>
          </w:p>
        </w:tc>
        <w:tc>
          <w:tcPr/>
          <w:p>
            <w:pPr>
              <w:pStyle w:val="Compact"/>
              <w:jc w:val="left"/>
            </w:pPr>
            <w:r>
              <w:t xml:space="preserve">293</w:t>
            </w:r>
          </w:p>
        </w:tc>
      </w:tr>
      <w:tr>
        <w:tc>
          <w:tcPr/>
          <w:p>
            <w:pPr>
              <w:pStyle w:val="Compact"/>
              <w:jc w:val="left"/>
            </w:pPr>
            <w:r>
              <w:rPr>
                <w:b/>
                <w:bCs/>
              </w:rPr>
              <w:t xml:space="preserve">Función Molecular (MF)</w:t>
            </w:r>
          </w:p>
        </w:tc>
        <w:tc>
          <w:tcPr/>
          <w:p>
            <w:pPr>
              <w:pStyle w:val="Compact"/>
              <w:jc w:val="left"/>
            </w:pPr>
            <w:r>
              <w:rPr>
                <w:b/>
                <w:bCs/>
              </w:rPr>
              <w:t xml:space="preserve">GO:0003723</w:t>
            </w:r>
          </w:p>
        </w:tc>
        <w:tc>
          <w:tcPr/>
          <w:p>
            <w:pPr>
              <w:pStyle w:val="Compact"/>
              <w:jc w:val="left"/>
            </w:pPr>
            <w:r>
              <w:t xml:space="preserve">RNA binding</w:t>
            </w:r>
            <w:r>
              <w:t xml:space="preserve"> </w:t>
            </w:r>
            <w:r>
              <w:rPr>
                <w:i/>
                <w:iCs/>
              </w:rPr>
              <w:t xml:space="preserve">(Unión a ARN)</w:t>
            </w:r>
          </w:p>
        </w:tc>
        <w:tc>
          <w:tcPr/>
          <w:p>
            <w:pPr>
              <w:pStyle w:val="Compact"/>
              <w:jc w:val="left"/>
            </w:pPr>
            <w:r>
              <w:t xml:space="preserve">296</w:t>
            </w:r>
          </w:p>
        </w:tc>
        <w:tc>
          <w:tcPr/>
          <w:p>
            <w:pPr>
              <w:pStyle w:val="Compact"/>
              <w:jc w:val="left"/>
            </w:pPr>
            <w:r>
              <w:t xml:space="preserve">285</w:t>
            </w:r>
          </w:p>
        </w:tc>
      </w:tr>
      <w:tr>
        <w:tc>
          <w:tcPr/>
          <w:p>
            <w:pPr>
              <w:pStyle w:val="Compact"/>
              <w:jc w:val="left"/>
            </w:pPr>
            <w:r>
              <w:rPr>
                <w:b/>
                <w:bCs/>
              </w:rPr>
              <w:t xml:space="preserve">Proceso Biológico (BP)</w:t>
            </w:r>
          </w:p>
        </w:tc>
        <w:tc>
          <w:tcPr/>
          <w:p>
            <w:pPr>
              <w:pStyle w:val="Compact"/>
              <w:jc w:val="left"/>
            </w:pPr>
            <w:r>
              <w:rPr>
                <w:b/>
                <w:bCs/>
              </w:rPr>
              <w:t xml:space="preserve">GO:0006355</w:t>
            </w:r>
          </w:p>
        </w:tc>
        <w:tc>
          <w:tcPr/>
          <w:p>
            <w:pPr>
              <w:pStyle w:val="Compact"/>
              <w:jc w:val="left"/>
            </w:pPr>
            <w:r>
              <w:t xml:space="preserve">regulation of transcription</w:t>
            </w:r>
            <w:r>
              <w:t xml:space="preserve"> </w:t>
            </w:r>
            <w:r>
              <w:rPr>
                <w:i/>
                <w:iCs/>
              </w:rPr>
              <w:t xml:space="preserve">(Regulación de transcripción)</w:t>
            </w:r>
          </w:p>
        </w:tc>
        <w:tc>
          <w:tcPr/>
          <w:p>
            <w:pPr>
              <w:pStyle w:val="Compact"/>
              <w:jc w:val="left"/>
            </w:pPr>
            <w:r>
              <w:t xml:space="preserve">288</w:t>
            </w:r>
          </w:p>
        </w:tc>
        <w:tc>
          <w:tcPr/>
          <w:p>
            <w:pPr>
              <w:pStyle w:val="Compact"/>
              <w:jc w:val="left"/>
            </w:pPr>
            <w:r>
              <w:t xml:space="preserve">287</w:t>
            </w:r>
          </w:p>
        </w:tc>
      </w:tr>
      <w:tr>
        <w:tc>
          <w:tcPr/>
          <w:p>
            <w:pPr>
              <w:pStyle w:val="Compact"/>
              <w:jc w:val="left"/>
            </w:pPr>
            <w:r>
              <w:rPr>
                <w:b/>
                <w:bCs/>
              </w:rPr>
              <w:t xml:space="preserve">Proceso Biológico (BP)</w:t>
            </w:r>
          </w:p>
        </w:tc>
        <w:tc>
          <w:tcPr/>
          <w:p>
            <w:pPr>
              <w:pStyle w:val="Compact"/>
              <w:jc w:val="left"/>
            </w:pPr>
            <w:r>
              <w:rPr>
                <w:b/>
                <w:bCs/>
              </w:rPr>
              <w:t xml:space="preserve">GO:0065003</w:t>
            </w:r>
          </w:p>
        </w:tc>
        <w:tc>
          <w:tcPr/>
          <w:p>
            <w:pPr>
              <w:pStyle w:val="Compact"/>
              <w:jc w:val="left"/>
            </w:pPr>
            <w:r>
              <w:t xml:space="preserve">protein complex assembly</w:t>
            </w:r>
            <w:r>
              <w:t xml:space="preserve"> </w:t>
            </w:r>
            <w:r>
              <w:rPr>
                <w:i/>
                <w:iCs/>
              </w:rPr>
              <w:t xml:space="preserve">(Ensamblaje de complejos)</w:t>
            </w:r>
          </w:p>
        </w:tc>
        <w:tc>
          <w:tcPr/>
          <w:p>
            <w:pPr>
              <w:pStyle w:val="Compact"/>
              <w:jc w:val="left"/>
            </w:pPr>
            <w:r>
              <w:t xml:space="preserve">283</w:t>
            </w:r>
          </w:p>
        </w:tc>
        <w:tc>
          <w:tcPr/>
          <w:p>
            <w:pPr>
              <w:pStyle w:val="Compact"/>
              <w:jc w:val="left"/>
            </w:pPr>
            <w:r>
              <w:t xml:space="preserve">287</w:t>
            </w:r>
          </w:p>
        </w:tc>
      </w:tr>
      <w:tr>
        <w:tc>
          <w:tcPr/>
          <w:p>
            <w:pPr>
              <w:pStyle w:val="Compact"/>
              <w:jc w:val="left"/>
            </w:pPr>
            <w:r>
              <w:rPr>
                <w:b/>
                <w:bCs/>
              </w:rPr>
              <w:t xml:space="preserve">Componente Celular (CC)</w:t>
            </w:r>
          </w:p>
        </w:tc>
        <w:tc>
          <w:tcPr/>
          <w:p>
            <w:pPr>
              <w:pStyle w:val="Compact"/>
              <w:jc w:val="left"/>
            </w:pPr>
            <w:r>
              <w:rPr>
                <w:b/>
                <w:bCs/>
              </w:rPr>
              <w:t xml:space="preserve">GO:0005783</w:t>
            </w:r>
          </w:p>
        </w:tc>
        <w:tc>
          <w:tcPr/>
          <w:p>
            <w:pPr>
              <w:pStyle w:val="Compact"/>
              <w:jc w:val="left"/>
            </w:pPr>
            <w:r>
              <w:t xml:space="preserve">endoplasmic reticulum</w:t>
            </w:r>
            <w:r>
              <w:t xml:space="preserve"> </w:t>
            </w:r>
            <w:r>
              <w:rPr>
                <w:i/>
                <w:iCs/>
              </w:rPr>
              <w:t xml:space="preserve">(Retículo endoplasmático)</w:t>
            </w:r>
          </w:p>
        </w:tc>
        <w:tc>
          <w:tcPr/>
          <w:p>
            <w:pPr>
              <w:pStyle w:val="Compact"/>
              <w:jc w:val="left"/>
            </w:pPr>
            <w:r>
              <w:t xml:space="preserve">271</w:t>
            </w:r>
          </w:p>
        </w:tc>
        <w:tc>
          <w:tcPr/>
          <w:p>
            <w:pPr>
              <w:pStyle w:val="Compact"/>
              <w:jc w:val="left"/>
            </w:pPr>
            <w:r>
              <w:t xml:space="preserve">263</w:t>
            </w:r>
          </w:p>
        </w:tc>
      </w:tr>
      <w:tr>
        <w:tc>
          <w:tcPr/>
          <w:p>
            <w:pPr>
              <w:pStyle w:val="Compact"/>
              <w:jc w:val="left"/>
            </w:pPr>
            <w:r>
              <w:rPr>
                <w:b/>
                <w:bCs/>
              </w:rPr>
              <w:t xml:space="preserve">Componente Celular (CC)</w:t>
            </w:r>
          </w:p>
        </w:tc>
        <w:tc>
          <w:tcPr/>
          <w:p>
            <w:pPr>
              <w:pStyle w:val="Compact"/>
              <w:jc w:val="left"/>
            </w:pPr>
            <w:r>
              <w:rPr>
                <w:b/>
                <w:bCs/>
              </w:rPr>
              <w:t xml:space="preserve">GO:0005694</w:t>
            </w:r>
          </w:p>
        </w:tc>
        <w:tc>
          <w:tcPr/>
          <w:p>
            <w:pPr>
              <w:pStyle w:val="Compact"/>
              <w:jc w:val="left"/>
            </w:pPr>
            <w:r>
              <w:t xml:space="preserve">chromosome</w:t>
            </w:r>
            <w:r>
              <w:t xml:space="preserve"> </w:t>
            </w:r>
            <w:r>
              <w:rPr>
                <w:i/>
                <w:iCs/>
              </w:rPr>
              <w:t xml:space="preserve">(Cromosomas)</w:t>
            </w:r>
          </w:p>
        </w:tc>
        <w:tc>
          <w:tcPr/>
          <w:p>
            <w:pPr>
              <w:pStyle w:val="Compact"/>
              <w:jc w:val="left"/>
            </w:pPr>
            <w:r>
              <w:t xml:space="preserve">256</w:t>
            </w:r>
          </w:p>
        </w:tc>
        <w:tc>
          <w:tcPr/>
          <w:p>
            <w:pPr>
              <w:pStyle w:val="Compact"/>
              <w:jc w:val="left"/>
            </w:pPr>
            <w:r>
              <w:t xml:space="preserve">247</w:t>
            </w:r>
          </w:p>
        </w:tc>
      </w:tr>
      <w:tr>
        <w:tc>
          <w:tcPr/>
          <w:p>
            <w:pPr>
              <w:pStyle w:val="Compact"/>
              <w:jc w:val="left"/>
            </w:pPr>
            <w:r>
              <w:rPr>
                <w:b/>
                <w:bCs/>
              </w:rPr>
              <w:t xml:space="preserve">Proceso Biológico (BP)</w:t>
            </w:r>
          </w:p>
        </w:tc>
        <w:tc>
          <w:tcPr/>
          <w:p>
            <w:pPr>
              <w:pStyle w:val="Compact"/>
              <w:jc w:val="left"/>
            </w:pPr>
            <w:r>
              <w:rPr>
                <w:b/>
                <w:bCs/>
              </w:rPr>
              <w:t xml:space="preserve">GO:0016192</w:t>
            </w:r>
          </w:p>
        </w:tc>
        <w:tc>
          <w:tcPr/>
          <w:p>
            <w:pPr>
              <w:pStyle w:val="Compact"/>
              <w:jc w:val="left"/>
            </w:pPr>
            <w:r>
              <w:t xml:space="preserve">vesicle-mediated transport</w:t>
            </w:r>
            <w:r>
              <w:t xml:space="preserve"> </w:t>
            </w:r>
            <w:r>
              <w:rPr>
                <w:i/>
                <w:iCs/>
              </w:rPr>
              <w:t xml:space="preserve">(Transporte por vesículas)</w:t>
            </w:r>
          </w:p>
        </w:tc>
        <w:tc>
          <w:tcPr/>
          <w:p>
            <w:pPr>
              <w:pStyle w:val="Compact"/>
              <w:jc w:val="left"/>
            </w:pPr>
            <w:r>
              <w:t xml:space="preserve">219</w:t>
            </w:r>
          </w:p>
        </w:tc>
        <w:tc>
          <w:tcPr/>
          <w:p>
            <w:pPr>
              <w:pStyle w:val="Compact"/>
              <w:jc w:val="left"/>
            </w:pPr>
            <w:r>
              <w:t xml:space="preserve">208</w:t>
            </w:r>
          </w:p>
        </w:tc>
      </w:tr>
      <w:tr>
        <w:tc>
          <w:tcPr/>
          <w:p>
            <w:pPr>
              <w:pStyle w:val="Compact"/>
              <w:jc w:val="left"/>
            </w:pPr>
            <w:r>
              <w:rPr>
                <w:b/>
                <w:bCs/>
              </w:rPr>
              <w:t xml:space="preserve">Proceso Biológico (BP)</w:t>
            </w:r>
          </w:p>
        </w:tc>
        <w:tc>
          <w:tcPr/>
          <w:p>
            <w:pPr>
              <w:pStyle w:val="Compact"/>
              <w:jc w:val="left"/>
            </w:pPr>
            <w:r>
              <w:rPr>
                <w:b/>
                <w:bCs/>
              </w:rPr>
              <w:t xml:space="preserve">GO:0000278</w:t>
            </w:r>
          </w:p>
        </w:tc>
        <w:tc>
          <w:tcPr/>
          <w:p>
            <w:pPr>
              <w:pStyle w:val="Compact"/>
              <w:jc w:val="left"/>
            </w:pPr>
            <w:r>
              <w:t xml:space="preserve">mitotic cell cycle</w:t>
            </w:r>
            <w:r>
              <w:t xml:space="preserve"> </w:t>
            </w:r>
            <w:r>
              <w:rPr>
                <w:i/>
                <w:iCs/>
              </w:rPr>
              <w:t xml:space="preserve">(Ciclo de división celular)</w:t>
            </w:r>
          </w:p>
        </w:tc>
        <w:tc>
          <w:tcPr/>
          <w:p>
            <w:pPr>
              <w:pStyle w:val="Compact"/>
              <w:jc w:val="left"/>
            </w:pPr>
            <w:r>
              <w:t xml:space="preserve">215</w:t>
            </w:r>
          </w:p>
        </w:tc>
        <w:tc>
          <w:tcPr/>
          <w:p>
            <w:pPr>
              <w:pStyle w:val="Compact"/>
              <w:jc w:val="left"/>
            </w:pPr>
            <w:r>
              <w:t xml:space="preserve">204</w:t>
            </w:r>
          </w:p>
        </w:tc>
      </w:tr>
      <w:tr>
        <w:tc>
          <w:tcPr/>
          <w:p>
            <w:pPr>
              <w:pStyle w:val="Compact"/>
              <w:jc w:val="left"/>
            </w:pPr>
            <w:r>
              <w:rPr>
                <w:b/>
                <w:bCs/>
              </w:rPr>
              <w:t xml:space="preserve">Proceso Biológico (BP)</w:t>
            </w:r>
          </w:p>
        </w:tc>
        <w:tc>
          <w:tcPr/>
          <w:p>
            <w:pPr>
              <w:pStyle w:val="Compact"/>
              <w:jc w:val="left"/>
            </w:pPr>
            <w:r>
              <w:rPr>
                <w:b/>
                <w:bCs/>
              </w:rPr>
              <w:t xml:space="preserve">GO:0042254</w:t>
            </w:r>
          </w:p>
        </w:tc>
        <w:tc>
          <w:tcPr/>
          <w:p>
            <w:pPr>
              <w:pStyle w:val="Compact"/>
              <w:jc w:val="left"/>
            </w:pPr>
            <w:r>
              <w:t xml:space="preserve">ribosome biogenesis</w:t>
            </w:r>
            <w:r>
              <w:t xml:space="preserve"> </w:t>
            </w:r>
            <w:r>
              <w:rPr>
                <w:i/>
                <w:iCs/>
              </w:rPr>
              <w:t xml:space="preserve">(Creación de ribosomas)</w:t>
            </w:r>
          </w:p>
        </w:tc>
        <w:tc>
          <w:tcPr/>
          <w:p>
            <w:pPr>
              <w:pStyle w:val="Compact"/>
              <w:jc w:val="left"/>
            </w:pPr>
            <w:r>
              <w:t xml:space="preserve">213</w:t>
            </w:r>
          </w:p>
        </w:tc>
        <w:tc>
          <w:tcPr/>
          <w:p>
            <w:pPr>
              <w:pStyle w:val="Compact"/>
              <w:jc w:val="left"/>
            </w:pPr>
            <w:r>
              <w:t xml:space="preserve">199</w:t>
            </w:r>
          </w:p>
        </w:tc>
      </w:tr>
      <w:tr>
        <w:tc>
          <w:tcPr/>
          <w:p>
            <w:pPr>
              <w:pStyle w:val="Compact"/>
              <w:jc w:val="left"/>
            </w:pPr>
            <w:r>
              <w:rPr>
                <w:b/>
                <w:bCs/>
              </w:rPr>
              <w:t xml:space="preserve">Proceso Biológico (BP)</w:t>
            </w:r>
          </w:p>
        </w:tc>
        <w:tc>
          <w:tcPr/>
          <w:p>
            <w:pPr>
              <w:pStyle w:val="Compact"/>
              <w:jc w:val="left"/>
            </w:pPr>
            <w:r>
              <w:rPr>
                <w:b/>
                <w:bCs/>
              </w:rPr>
              <w:t xml:space="preserve">GO:0023052</w:t>
            </w:r>
          </w:p>
        </w:tc>
        <w:tc>
          <w:tcPr/>
          <w:p>
            <w:pPr>
              <w:pStyle w:val="Compact"/>
              <w:jc w:val="left"/>
            </w:pPr>
            <w:r>
              <w:t xml:space="preserve">signaling</w:t>
            </w:r>
            <w:r>
              <w:t xml:space="preserve"> </w:t>
            </w:r>
            <w:r>
              <w:rPr>
                <w:i/>
                <w:iCs/>
              </w:rPr>
              <w:t xml:space="preserve">(Señalización celular)</w:t>
            </w:r>
          </w:p>
        </w:tc>
        <w:tc>
          <w:tcPr/>
          <w:p>
            <w:pPr>
              <w:pStyle w:val="Compact"/>
              <w:jc w:val="left"/>
            </w:pPr>
            <w:r>
              <w:t xml:space="preserve">179</w:t>
            </w:r>
          </w:p>
        </w:tc>
        <w:tc>
          <w:tcPr/>
          <w:p>
            <w:pPr>
              <w:pStyle w:val="Compact"/>
              <w:jc w:val="left"/>
            </w:pPr>
            <w:r>
              <w:t xml:space="preserve">176</w:t>
            </w:r>
          </w:p>
        </w:tc>
      </w:tr>
    </w:tbl>
    <w:p>
      <w:r>
        <w:pict>
          <v:rect style="width:0;height:1.5pt" o:hralign="center" o:hrstd="t" o:hr="t"/>
        </w:pict>
      </w:r>
    </w:p>
    <w:bookmarkEnd w:id="21"/>
    <w:bookmarkStart w:id="41" w:name="Xd096321f1e6c25e8bedf9f1b35d14956a80f91f"/>
    <w:p>
      <w:pPr>
        <w:pStyle w:val="Heading3"/>
      </w:pPr>
      <w:r>
        <w:t xml:space="preserve">3.2 Genómica Comparativa: Parentesco, Sintenia y Evolución</w:t>
      </w:r>
    </w:p>
    <w:bookmarkStart w:id="22" w:name="Xec0af857d0552cb6341bba3a0b2230ccfacfba2"/>
    <w:p>
      <w:pPr>
        <w:pStyle w:val="Heading4"/>
      </w:pPr>
      <w:r>
        <w:t xml:space="preserve">3.2.1 Filogenia y Especialización en Caña de Azúcar</w:t>
      </w:r>
    </w:p>
    <w:p>
      <w:pPr>
        <w:pStyle w:val="FirstParagraph"/>
      </w:pPr>
      <w:r>
        <w:t xml:space="preserve">Para comprender el origen evolutivo del complejo patogénico de la caña de azúcar, se construyó un árbol filogenético de Máxima Verosimilitud (Maximum Likelihood) utilizando el gen ortólogo conservado</w:t>
      </w:r>
      <w:r>
        <w:t xml:space="preserve"> </w:t>
      </w:r>
      <w:r>
        <w:rPr>
          <w:b/>
          <w:bCs/>
        </w:rPr>
        <w:t xml:space="preserve">Complejo Arp2/3 (Actina)</w:t>
      </w:r>
      <w:r>
        <w:t xml:space="preserve">. Se compararon</w:t>
      </w:r>
      <w:r>
        <w:t xml:space="preserve"> </w:t>
      </w:r>
      <w:r>
        <w:rPr>
          <w:i/>
          <w:iCs/>
        </w:rPr>
        <w:t xml:space="preserve">P. melanocephala</w:t>
      </w:r>
      <w:r>
        <w:t xml:space="preserve"> </w:t>
      </w:r>
      <w:r>
        <w:t xml:space="preserve">y</w:t>
      </w:r>
      <w:r>
        <w:t xml:space="preserve"> </w:t>
      </w:r>
      <w:r>
        <w:rPr>
          <w:i/>
          <w:iCs/>
        </w:rPr>
        <w:t xml:space="preserve">P. kuehnii</w:t>
      </w:r>
      <w:r>
        <w:t xml:space="preserve"> </w:t>
      </w:r>
      <w:r>
        <w:t xml:space="preserve">frente a las royas del trigo (</w:t>
      </w:r>
      <w:r>
        <w:rPr>
          <w:i/>
          <w:iCs/>
        </w:rPr>
        <w:t xml:space="preserve">P. graminis</w:t>
      </w:r>
      <w:r>
        <w:t xml:space="preserve">,</w:t>
      </w:r>
      <w:r>
        <w:t xml:space="preserve"> </w:t>
      </w:r>
      <w:r>
        <w:rPr>
          <w:i/>
          <w:iCs/>
        </w:rPr>
        <w:t xml:space="preserve">P. triticina</w:t>
      </w:r>
      <w:r>
        <w:t xml:space="preserve"> </w:t>
      </w:r>
      <w:r>
        <w:t xml:space="preserve">y</w:t>
      </w:r>
      <w:r>
        <w:t xml:space="preserve"> </w:t>
      </w:r>
      <w:r>
        <w:rPr>
          <w:i/>
          <w:iCs/>
        </w:rPr>
        <w:t xml:space="preserve">P. striiformis</w:t>
      </w:r>
      <w:r>
        <w:t xml:space="preserve">), utilizando a</w:t>
      </w:r>
      <w:r>
        <w:t xml:space="preserve"> </w:t>
      </w:r>
      <w:r>
        <w:rPr>
          <w:i/>
          <w:iCs/>
        </w:rPr>
        <w:t xml:space="preserve">Melampsora larici-populina</w:t>
      </w:r>
      <w:r>
        <w:t xml:space="preserve"> </w:t>
      </w:r>
      <w:r>
        <w:t xml:space="preserve">(roya del álamo) como grupo externo (outgroup).</w:t>
      </w:r>
    </w:p>
    <w:p>
      <w:pPr>
        <w:pStyle w:val="SourceCode"/>
      </w:pPr>
      <w:r>
        <w:rPr>
          <w:rStyle w:val="VerbatimChar"/>
        </w:rPr>
        <w:t xml:space="preserve">graph LR</w:t>
      </w:r>
      <w:r>
        <w:br/>
      </w:r>
      <w:r>
        <w:rPr>
          <w:rStyle w:val="VerbatimChar"/>
        </w:rPr>
        <w:t xml:space="preserve">    %% Nodos</w:t>
      </w:r>
      <w:r>
        <w:br/>
      </w:r>
      <w:r>
        <w:rPr>
          <w:rStyle w:val="VerbatimChar"/>
        </w:rPr>
        <w:t xml:space="preserve">    Raiz((Ancestro Común))</w:t>
      </w:r>
      <w:r>
        <w:br/>
      </w:r>
      <w:r>
        <w:rPr>
          <w:rStyle w:val="VerbatimChar"/>
        </w:rPr>
        <w:t xml:space="preserve">    RoyasTrigo((Ancestro Royas Trigo))</w:t>
      </w:r>
      <w:r>
        <w:br/>
      </w:r>
      <w:r>
        <w:rPr>
          <w:rStyle w:val="VerbatimChar"/>
        </w:rPr>
        <w:t xml:space="preserve">    RoyasCaña((Ancestro Royas Caña))</w:t>
      </w:r>
      <w:r>
        <w:br/>
      </w:r>
      <w:r>
        <w:rPr>
          <w:rStyle w:val="VerbatimChar"/>
        </w:rPr>
        <w:t xml:space="preserve">    </w:t>
      </w:r>
      <w:r>
        <w:br/>
      </w:r>
      <w:r>
        <w:rPr>
          <w:rStyle w:val="VerbatimChar"/>
        </w:rPr>
        <w:t xml:space="preserve">    %% Ramas</w:t>
      </w:r>
      <w:r>
        <w:br/>
      </w:r>
      <w:r>
        <w:rPr>
          <w:rStyle w:val="VerbatimChar"/>
        </w:rPr>
        <w:t xml:space="preserve">    Raiz --&gt; RoyasTrigo</w:t>
      </w:r>
      <w:r>
        <w:br/>
      </w:r>
      <w:r>
        <w:rPr>
          <w:rStyle w:val="VerbatimChar"/>
        </w:rPr>
        <w:t xml:space="preserve">    Raiz --&gt;|Divergencia Temprana| RoyaNaranja["P. kuehnii (Roya Naranja)"]</w:t>
      </w:r>
      <w:r>
        <w:br/>
      </w:r>
      <w:r>
        <w:rPr>
          <w:rStyle w:val="VerbatimChar"/>
        </w:rPr>
        <w:t xml:space="preserve">    Raiz --&gt;|Divergencia Temprana| Outgroup["Melampsora larici-populina (Outgroup)"]</w:t>
      </w:r>
      <w:r>
        <w:br/>
      </w:r>
      <w:r>
        <w:rPr>
          <w:rStyle w:val="VerbatimChar"/>
        </w:rPr>
        <w:t xml:space="preserve">    </w:t>
      </w:r>
      <w:r>
        <w:br/>
      </w:r>
      <w:r>
        <w:rPr>
          <w:rStyle w:val="VerbatimChar"/>
        </w:rPr>
        <w:t xml:space="preserve">    RoyasTrigo --&gt; RoyaCafe["P. melanocephala (Roya Café)"]</w:t>
      </w:r>
      <w:r>
        <w:br/>
      </w:r>
      <w:r>
        <w:rPr>
          <w:rStyle w:val="VerbatimChar"/>
        </w:rPr>
        <w:t xml:space="preserve">    RoyasTrigo --&gt; AncestroTrigo((Clado Trigo))</w:t>
      </w:r>
      <w:r>
        <w:br/>
      </w:r>
      <w:r>
        <w:rPr>
          <w:rStyle w:val="VerbatimChar"/>
        </w:rPr>
        <w:t xml:space="preserve">    </w:t>
      </w:r>
      <w:r>
        <w:br/>
      </w:r>
      <w:r>
        <w:rPr>
          <w:rStyle w:val="VerbatimChar"/>
        </w:rPr>
        <w:t xml:space="preserve">    AncestroTrigo --&gt; Pst["P. striiformis (Trigo)"]</w:t>
      </w:r>
      <w:r>
        <w:br/>
      </w:r>
      <w:r>
        <w:rPr>
          <w:rStyle w:val="VerbatimChar"/>
        </w:rPr>
        <w:t xml:space="preserve">    AncestroTrigo --&gt; PtrPgt((Clado Hoja/Tallo))</w:t>
      </w:r>
      <w:r>
        <w:br/>
      </w:r>
      <w:r>
        <w:rPr>
          <w:rStyle w:val="VerbatimChar"/>
        </w:rPr>
        <w:t xml:space="preserve">    </w:t>
      </w:r>
      <w:r>
        <w:br/>
      </w:r>
      <w:r>
        <w:rPr>
          <w:rStyle w:val="VerbatimChar"/>
        </w:rPr>
        <w:t xml:space="preserve">    PtrPgt --&gt; Ptr["P. triticina (Trigo)"]</w:t>
      </w:r>
      <w:r>
        <w:br/>
      </w:r>
      <w:r>
        <w:rPr>
          <w:rStyle w:val="VerbatimChar"/>
        </w:rPr>
        <w:t xml:space="preserve">    PtrPgt --&gt; Pgt["P. graminis (Trigo)"]</w:t>
      </w:r>
    </w:p>
    <w:p>
      <w:pPr>
        <w:pStyle w:val="FirstParagraph"/>
      </w:pPr>
      <w:r>
        <w:rPr>
          <w:b/>
          <w:bCs/>
        </w:rPr>
        <w:t xml:space="preserve">Interpretación Evolutiva:</w:t>
      </w:r>
      <w:r>
        <w:t xml:space="preserve"> </w:t>
      </w:r>
      <w:r>
        <w:t xml:space="preserve">Contra la creencia clásica de que las dos royas de la caña son especies hermanas inseparables, la topología del árbol demostró un patrón fascinante. Las royas del trigo forman un clado monofilético estricto, pero las royas de la caña están separadas evolutivamente:</w:t>
      </w:r>
      <w:r>
        <w:t xml:space="preserve"> </w:t>
      </w:r>
      <w:r>
        <w:t xml:space="preserve">1.</w:t>
      </w:r>
      <w:r>
        <w:t xml:space="preserve"> </w:t>
      </w:r>
      <w:r>
        <w:rPr>
          <w:b/>
          <w:bCs/>
        </w:rPr>
        <w:t xml:space="preserve">Divergencia Basal (</w:t>
      </w:r>
      <w:r>
        <w:rPr>
          <w:b/>
          <w:bCs/>
          <w:i/>
          <w:iCs/>
        </w:rPr>
        <w:t xml:space="preserve">P. kuehnii</w:t>
      </w:r>
      <w:r>
        <w:rPr>
          <w:b/>
          <w:bCs/>
        </w:rPr>
        <w:t xml:space="preserve">):</w:t>
      </w:r>
      <w:r>
        <w:t xml:space="preserve"> </w:t>
      </w:r>
      <w:r>
        <w:t xml:space="preserve">La Roya Naranja se posiciona como un linaje ancestral muy basal, separándose tempranamente cerca del grupo externo. Esto explica por qué su genoma es tan compacto y conservador (en equilibrio antiguo con su hospedero).</w:t>
      </w:r>
      <w:r>
        <w:t xml:space="preserve"> </w:t>
      </w:r>
      <w:r>
        <w:t xml:space="preserve">2.</w:t>
      </w:r>
      <w:r>
        <w:t xml:space="preserve"> </w:t>
      </w:r>
      <w:r>
        <w:rPr>
          <w:b/>
          <w:bCs/>
        </w:rPr>
        <w:t xml:space="preserve">Conexión Plástica (</w:t>
      </w:r>
      <w:r>
        <w:rPr>
          <w:b/>
          <w:bCs/>
          <w:i/>
          <w:iCs/>
        </w:rPr>
        <w:t xml:space="preserve">P. melanocephala</w:t>
      </w:r>
      <w:r>
        <w:rPr>
          <w:b/>
          <w:bCs/>
        </w:rPr>
        <w:t xml:space="preserve">):</w:t>
      </w:r>
      <w:r>
        <w:t xml:space="preserve"> </w:t>
      </w:r>
      <w:r>
        <w:t xml:space="preserve">La Roya Café se posiciona como una especie hermana más cercana al agresivo clado del trigo. Esto justifica de manera espectacular por qué</w:t>
      </w:r>
      <w:r>
        <w:t xml:space="preserve"> </w:t>
      </w:r>
      <w:r>
        <w:rPr>
          <w:i/>
          <w:iCs/>
        </w:rPr>
        <w:t xml:space="preserve">P. melanocephala</w:t>
      </w:r>
      <w:r>
        <w:t xml:space="preserve"> </w:t>
      </w:r>
      <w:r>
        <w:t xml:space="preserve">sufrió una explosión de transposones y un crecimiento genómico caótico: comparte la plasticidad evolutiva reciente y agresiva que caracteriza a los patógenos de los pastos modernos.</w:t>
      </w:r>
    </w:p>
    <w:bookmarkEnd w:id="22"/>
    <w:bookmarkStart w:id="23" w:name="identidad-genómica-global-ani"/>
    <w:p>
      <w:pPr>
        <w:pStyle w:val="Heading4"/>
      </w:pPr>
      <w:r>
        <w:t xml:space="preserve">3.2.2 Identidad Genómica Global (ANI)</w:t>
      </w:r>
    </w:p>
    <w:p>
      <w:pPr>
        <w:pStyle w:val="FirstParagraph"/>
      </w:pPr>
      <w:r>
        <w:t xml:space="preserve">La comparación a nivel de secuencias completas reveló un Porcentaje de Identidad de Nucleótidos Promedio (ANI) del</w:t>
      </w:r>
      <w:r>
        <w:t xml:space="preserve"> </w:t>
      </w:r>
      <w:r>
        <w:rPr>
          <w:b/>
          <w:bCs/>
        </w:rPr>
        <w:t xml:space="preserve">83.14%</w:t>
      </w:r>
      <w:r>
        <w:t xml:space="preserve"> </w:t>
      </w:r>
      <w:r>
        <w:t xml:space="preserve">entre ambas royas. Sin embargo, la Fracción de Alineamiento (AF) fue extremadamente baja: apenas el</w:t>
      </w:r>
      <w:r>
        <w:t xml:space="preserve"> </w:t>
      </w:r>
      <w:r>
        <w:rPr>
          <w:b/>
          <w:bCs/>
        </w:rPr>
        <w:t xml:space="preserve">17.07%</w:t>
      </w:r>
      <w:r>
        <w:t xml:space="preserve">. Esto demuestra que, si bien las zonas conservadas son biológicamente similares (83% idénticas), la abrumadora mayoría del genoma físico (83% restante) no logra alinearse de forma contigua. Esta desconexión estructural es la huella directa de las masivas inserciones de Elementos Transponibles que fragmentaron y reestructuraron por completo la arquitectura del genoma de</w:t>
      </w:r>
      <w:r>
        <w:t xml:space="preserve"> </w:t>
      </w:r>
      <w:r>
        <w:rPr>
          <w:i/>
          <w:iCs/>
        </w:rPr>
        <w:t xml:space="preserve">P. melanocephala</w:t>
      </w:r>
      <w:r>
        <w:t xml:space="preserve">.</w:t>
      </w:r>
    </w:p>
    <w:p>
      <w:pPr>
        <w:pStyle w:val="BodyText"/>
      </w:pPr>
      <w:r>
        <w:rPr>
          <w:b/>
          <w:bCs/>
        </w:rPr>
        <w:t xml:space="preserve">¿Qué significan biológicamente estos valores?</w:t>
      </w:r>
      <w:r>
        <w:t xml:space="preserve"> </w:t>
      </w:r>
      <w:r>
        <w:t xml:space="preserve">Para comprender la magnitud de esta diferencia, podemos imaginar que el genoma de cada hongo es un inmenso manual de instrucciones:</w:t>
      </w:r>
      <w:r>
        <w:t xml:space="preserve"> </w:t>
      </w:r>
      <w:r>
        <w:t xml:space="preserve">*</w:t>
      </w:r>
      <w:r>
        <w:t xml:space="preserve"> </w:t>
      </w:r>
      <w:r>
        <w:rPr>
          <w:b/>
          <w:bCs/>
        </w:rPr>
        <w:t xml:space="preserve">La Fracción de Alineamiento o AF (17.07%):</w:t>
      </w:r>
      <w:r>
        <w:t xml:space="preserve"> </w:t>
      </w:r>
      <w:r>
        <w:t xml:space="preserve">Significa que solo 17 de cada 100 páginas de ambos manuales hablan de los mismos procesos biológicos. Las 83 páginas restantes del</w:t>
      </w:r>
      <w:r>
        <w:t xml:space="preserve"> </w:t>
      </w:r>
      <w:r>
        <w:t xml:space="preserve">“manual”</w:t>
      </w:r>
      <w:r>
        <w:t xml:space="preserve"> </w:t>
      </w:r>
      <w:r>
        <w:t xml:space="preserve">de la Roya Café están atiborradas de fotocopias redundantes (genes parálogos) y secuencias repetitivas (transposones) que la Roya Naranja simplemente no tiene. Es la prueba irrefutable de la agresiva inflamación de su genoma.</w:t>
      </w:r>
      <w:r>
        <w:t xml:space="preserve"> </w:t>
      </w:r>
      <w:r>
        <w:t xml:space="preserve">*</w:t>
      </w:r>
      <w:r>
        <w:t xml:space="preserve"> </w:t>
      </w:r>
      <w:r>
        <w:rPr>
          <w:b/>
          <w:bCs/>
        </w:rPr>
        <w:t xml:space="preserve">El ANI (83.14%):</w:t>
      </w:r>
      <w:r>
        <w:t xml:space="preserve"> </w:t>
      </w:r>
      <w:r>
        <w:t xml:space="preserve">Significa que si nos enfocamos en leer</w:t>
      </w:r>
      <w:r>
        <w:t xml:space="preserve"> </w:t>
      </w:r>
      <w:r>
        <w:rPr>
          <w:i/>
          <w:iCs/>
        </w:rPr>
        <w:t xml:space="preserve">exclusivamente</w:t>
      </w:r>
      <w:r>
        <w:t xml:space="preserve"> </w:t>
      </w:r>
      <w:r>
        <w:t xml:space="preserve">esas 17 páginas que sí comparten, las</w:t>
      </w:r>
      <w:r>
        <w:t xml:space="preserve"> </w:t>
      </w:r>
      <w:r>
        <w:t xml:space="preserve">“letras”</w:t>
      </w:r>
      <w:r>
        <w:t xml:space="preserve"> </w:t>
      </w:r>
      <w:r>
        <w:t xml:space="preserve">(nucleótidos de ADN) son idénticas en un 83.14%. Tienen</w:t>
      </w:r>
      <w:r>
        <w:t xml:space="preserve"> </w:t>
      </w:r>
      <w:r>
        <w:t xml:space="preserve">“errores ortográficos”</w:t>
      </w:r>
      <w:r>
        <w:t xml:space="preserve"> </w:t>
      </w:r>
      <w:r>
        <w:t xml:space="preserve">(mutaciones puntuales acumuladas), lo cual confirma que son dos especies evolutivamente distintas (ya que dos individuos de la misma especie compartirían más del 95% de las letras).</w:t>
      </w:r>
    </w:p>
    <w:bookmarkEnd w:id="23"/>
    <w:bookmarkStart w:id="24" w:name="Xea79e8ba2b89d32cdc0ae32af688e71999f3acb"/>
    <w:p>
      <w:pPr>
        <w:pStyle w:val="Heading4"/>
      </w:pPr>
      <w:r>
        <w:t xml:space="preserve">3.2.3 Cobertura de Mapeo y Mapeo de Variantes (SNPs)</w:t>
      </w:r>
    </w:p>
    <w:p>
      <w:pPr>
        <w:pStyle w:val="FirstParagraph"/>
      </w:pPr>
      <w:r>
        <w:t xml:space="preserve">Para evaluar las diferencias exactas a nivel estructural y de pares de bases, se ejecutó un mapeo genómico estricto de genoma completo de</w:t>
      </w:r>
      <w:r>
        <w:t xml:space="preserve"> </w:t>
      </w:r>
      <w:r>
        <w:rPr>
          <w:i/>
          <w:iCs/>
        </w:rPr>
        <w:t xml:space="preserve">P. melanocephala</w:t>
      </w:r>
      <w:r>
        <w:t xml:space="preserve"> </w:t>
      </w:r>
      <w:r>
        <w:t xml:space="preserve">contra la referencia de</w:t>
      </w:r>
      <w:r>
        <w:t xml:space="preserve"> </w:t>
      </w:r>
      <w:r>
        <w:rPr>
          <w:i/>
          <w:iCs/>
        </w:rPr>
        <w:t xml:space="preserve">P. kuehnii</w:t>
      </w:r>
      <w:r>
        <w:t xml:space="preserve"> </w:t>
      </w:r>
      <w:r>
        <w:t xml:space="preserve">utilizando</w:t>
      </w:r>
      <w:r>
        <w:t xml:space="preserve"> </w:t>
      </w:r>
      <w:r>
        <w:rPr>
          <w:rStyle w:val="VerbatimChar"/>
        </w:rPr>
        <w:t xml:space="preserve">minimap2</w:t>
      </w:r>
      <w:r>
        <w:t xml:space="preserve"> </w:t>
      </w:r>
      <w:r>
        <w:t xml:space="preserve">(asm5) y extracción de variantes con</w:t>
      </w:r>
      <w:r>
        <w:t xml:space="preserve"> </w:t>
      </w:r>
      <w:r>
        <w:rPr>
          <w:rStyle w:val="VerbatimChar"/>
        </w:rPr>
        <w:t xml:space="preserve">bcftools</w:t>
      </w:r>
      <w:r>
        <w:t xml:space="preserve">.</w:t>
      </w:r>
    </w:p>
    <w:p>
      <w:pPr>
        <w:pStyle w:val="BodyText"/>
      </w:pPr>
      <w:r>
        <w:rPr>
          <w:b/>
          <w:bCs/>
        </w:rPr>
        <w:t xml:space="preserve">Tabla 3.3.1. Cobertura de Mapeo Inter-Especie (</w:t>
      </w:r>
      <w:r>
        <w:rPr>
          <w:b/>
          <w:bCs/>
          <w:i/>
          <w:iCs/>
        </w:rPr>
        <w:t xml:space="preserve">P. melanocephala</w:t>
      </w:r>
      <w:r>
        <w:rPr>
          <w:b/>
          <w:bCs/>
        </w:rPr>
        <w:t xml:space="preserve"> </w:t>
      </w:r>
      <w:r>
        <w:rPr>
          <w:b/>
          <w:bCs/>
        </w:rPr>
        <w:t xml:space="preserve">vs</w:t>
      </w:r>
      <w:r>
        <w:rPr>
          <w:b/>
          <w:bCs/>
        </w:rPr>
        <w:t xml:space="preserve"> </w:t>
      </w:r>
      <w:r>
        <w:rPr>
          <w:b/>
          <w:bCs/>
          <w:i/>
          <w:iCs/>
        </w:rPr>
        <w:t xml:space="preserve">P. kuehnii</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 de Alineamiento</w:t>
            </w:r>
          </w:p>
        </w:tc>
        <w:tc>
          <w:tcPr/>
          <w:p>
            <w:pPr>
              <w:pStyle w:val="Compact"/>
              <w:jc w:val="left"/>
            </w:pPr>
            <w:r>
              <w:t xml:space="preserve">Volumen (Millones de Bases)</w:t>
            </w:r>
          </w:p>
        </w:tc>
        <w:tc>
          <w:tcPr/>
          <w:p>
            <w:pPr>
              <w:pStyle w:val="Compact"/>
              <w:jc w:val="left"/>
            </w:pPr>
            <w:r>
              <w:t xml:space="preserve">Porcentaje del Genoma</w:t>
            </w:r>
          </w:p>
        </w:tc>
      </w:tr>
      <w:tr>
        <w:tc>
          <w:tcPr/>
          <w:p>
            <w:pPr>
              <w:pStyle w:val="Compact"/>
              <w:jc w:val="left"/>
            </w:pPr>
            <w:r>
              <w:rPr>
                <w:b/>
                <w:bCs/>
              </w:rPr>
              <w:t xml:space="preserve">Tamaño Total del Genoma (Roya Café)</w:t>
            </w:r>
          </w:p>
        </w:tc>
        <w:tc>
          <w:tcPr/>
          <w:p>
            <w:pPr>
              <w:pStyle w:val="Compact"/>
              <w:jc w:val="left"/>
            </w:pPr>
            <w:r>
              <w:t xml:space="preserve">308.1 MB</w:t>
            </w:r>
          </w:p>
        </w:tc>
        <w:tc>
          <w:tcPr/>
          <w:p>
            <w:pPr>
              <w:pStyle w:val="Compact"/>
              <w:jc w:val="left"/>
            </w:pPr>
            <w:r>
              <w:t xml:space="preserve">100.0%</w:t>
            </w:r>
          </w:p>
        </w:tc>
      </w:tr>
      <w:tr>
        <w:tc>
          <w:tcPr/>
          <w:p>
            <w:pPr>
              <w:pStyle w:val="Compact"/>
              <w:jc w:val="left"/>
            </w:pPr>
            <w:r>
              <w:rPr>
                <w:b/>
                <w:bCs/>
              </w:rPr>
              <w:t xml:space="preserve">Bases Mapeadas (Núcleo Conservado)</w:t>
            </w:r>
          </w:p>
        </w:tc>
        <w:tc>
          <w:tcPr/>
          <w:p>
            <w:pPr>
              <w:pStyle w:val="Compact"/>
              <w:jc w:val="left"/>
            </w:pPr>
            <w:r>
              <w:t xml:space="preserve">26.6 MB</w:t>
            </w:r>
          </w:p>
        </w:tc>
        <w:tc>
          <w:tcPr/>
          <w:p>
            <w:pPr>
              <w:pStyle w:val="Compact"/>
              <w:jc w:val="left"/>
            </w:pPr>
            <w:r>
              <w:t xml:space="preserve">8.6%</w:t>
            </w:r>
          </w:p>
        </w:tc>
      </w:tr>
      <w:tr>
        <w:tc>
          <w:tcPr/>
          <w:p>
            <w:pPr>
              <w:pStyle w:val="Compact"/>
              <w:jc w:val="left"/>
            </w:pPr>
            <w:r>
              <w:rPr>
                <w:b/>
                <w:bCs/>
              </w:rPr>
              <w:t xml:space="preserve">Bases No Mapeadas (Fracción Divergente)</w:t>
            </w:r>
          </w:p>
        </w:tc>
        <w:tc>
          <w:tcPr/>
          <w:p>
            <w:pPr>
              <w:pStyle w:val="Compact"/>
              <w:jc w:val="left"/>
            </w:pPr>
            <w:r>
              <w:t xml:space="preserve">281.5 MB</w:t>
            </w:r>
          </w:p>
        </w:tc>
        <w:tc>
          <w:tcPr/>
          <w:p>
            <w:pPr>
              <w:pStyle w:val="Compact"/>
              <w:jc w:val="left"/>
            </w:pPr>
            <w:r>
              <w:t xml:space="preserve">91.4%</w:t>
            </w:r>
          </w:p>
        </w:tc>
      </w:tr>
    </w:tbl>
    <w:p>
      <w:pPr>
        <w:pStyle w:val="BodyText"/>
      </w:pPr>
      <w:r>
        <w:t xml:space="preserve">Una vez aisladas las regiones homólogas (el 8.6% conservado), se procedió a extraer las mutaciones puntuales exactas que separan a ambas especies:</w:t>
      </w:r>
    </w:p>
    <w:p>
      <w:pPr>
        <w:pStyle w:val="BodyText"/>
      </w:pPr>
      <w:r>
        <w:rPr>
          <w:b/>
          <w:bCs/>
        </w:rPr>
        <w:t xml:space="preserve">Tabla 3.3.2. Variantes genéticas identificadas en el núcleo conservado.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Tipo de Variante Genética</w:t>
            </w:r>
          </w:p>
        </w:tc>
        <w:tc>
          <w:tcPr/>
          <w:p>
            <w:pPr>
              <w:pStyle w:val="Compact"/>
              <w:jc w:val="left"/>
            </w:pPr>
            <w:r>
              <w:t xml:space="preserve">Cantidad Detectada</w:t>
            </w:r>
          </w:p>
        </w:tc>
      </w:tr>
      <w:tr>
        <w:tc>
          <w:tcPr/>
          <w:p>
            <w:pPr>
              <w:pStyle w:val="Compact"/>
              <w:jc w:val="left"/>
            </w:pPr>
            <w:r>
              <w:rPr>
                <w:b/>
                <w:bCs/>
              </w:rPr>
              <w:t xml:space="preserve">SNPs</w:t>
            </w:r>
            <w:r>
              <w:t xml:space="preserve"> </w:t>
            </w:r>
            <w:r>
              <w:t xml:space="preserve">(Mutaciones puntuales)</w:t>
            </w:r>
          </w:p>
        </w:tc>
        <w:tc>
          <w:tcPr/>
          <w:p>
            <w:pPr>
              <w:pStyle w:val="Compact"/>
              <w:jc w:val="left"/>
            </w:pPr>
            <w:r>
              <w:t xml:space="preserve">170</w:t>
            </w:r>
          </w:p>
        </w:tc>
      </w:tr>
      <w:tr>
        <w:tc>
          <w:tcPr/>
          <w:p>
            <w:pPr>
              <w:pStyle w:val="Compact"/>
              <w:jc w:val="left"/>
            </w:pPr>
            <w:r>
              <w:rPr>
                <w:b/>
                <w:bCs/>
              </w:rPr>
              <w:t xml:space="preserve">INDELs</w:t>
            </w:r>
            <w:r>
              <w:t xml:space="preserve"> </w:t>
            </w:r>
            <w:r>
              <w:t xml:space="preserve">(Inserciones / Deleciones)</w:t>
            </w:r>
          </w:p>
        </w:tc>
        <w:tc>
          <w:tcPr/>
          <w:p>
            <w:pPr>
              <w:pStyle w:val="Compact"/>
              <w:jc w:val="left"/>
            </w:pPr>
            <w:r>
              <w:t xml:space="preserve">14</w:t>
            </w:r>
          </w:p>
        </w:tc>
      </w:tr>
      <w:tr>
        <w:tc>
          <w:tcPr/>
          <w:p>
            <w:pPr>
              <w:pStyle w:val="Compact"/>
              <w:jc w:val="left"/>
            </w:pPr>
            <w:r>
              <w:rPr>
                <w:b/>
                <w:bCs/>
              </w:rPr>
              <w:t xml:space="preserve">Total de Variantes</w:t>
            </w:r>
          </w:p>
        </w:tc>
        <w:tc>
          <w:tcPr/>
          <w:p>
            <w:pPr>
              <w:pStyle w:val="Compact"/>
              <w:jc w:val="left"/>
            </w:pPr>
            <w:r>
              <w:rPr>
                <w:b/>
                <w:bCs/>
              </w:rPr>
              <w:t xml:space="preserve">184</w:t>
            </w:r>
          </w:p>
        </w:tc>
      </w:tr>
    </w:tbl>
    <w:bookmarkEnd w:id="24"/>
    <w:bookmarkStart w:id="25" w:name="X1532ff488f39cd9fec2462b925da8d823211d43"/>
    <w:p>
      <w:pPr>
        <w:pStyle w:val="Heading4"/>
      </w:pPr>
      <w:r>
        <w:t xml:space="preserve">Discusión: Comprobación del</w:t>
      </w:r>
      <w:r>
        <w:t xml:space="preserve"> </w:t>
      </w:r>
      <w:r>
        <w:t xml:space="preserve">“Genoma a Dos Velocidades”</w:t>
      </w:r>
    </w:p>
    <w:p>
      <w:pPr>
        <w:pStyle w:val="FirstParagraph"/>
      </w:pPr>
      <w:r>
        <w:t xml:space="preserve">Los resultados de cobertura de mapeo representan la confirmación bioinformática absoluta de la hiper-expansión genómica. El hecho de que el</w:t>
      </w:r>
      <w:r>
        <w:t xml:space="preserve"> </w:t>
      </w:r>
      <w:r>
        <w:rPr>
          <w:b/>
          <w:bCs/>
        </w:rPr>
        <w:t xml:space="preserve">91.4% del genoma de la Roya Café (281.5 MB) no exista ni logre alinear con el de la Roya Naranja</w:t>
      </w:r>
      <w:r>
        <w:t xml:space="preserve">, encaja a la perfección con la abismal pérdida de sintenia reportada previamente (7.9%).</w:t>
      </w:r>
    </w:p>
    <w:p>
      <w:pPr>
        <w:pStyle w:val="BodyText"/>
      </w:pPr>
      <w:r>
        <w:t xml:space="preserve">Sin embargo, el descubrimiento de apenas 170 SNPs en el 8.6% de los bloques cromosómicos alineables representa un contraste biológico fascinante. Estos datos respaldan fuertemente la hipótesis estructural del</w:t>
      </w:r>
      <w:r>
        <w:t xml:space="preserve"> </w:t>
      </w:r>
      <w:r>
        <w:rPr>
          <w:b/>
          <w:bCs/>
        </w:rPr>
        <w:t xml:space="preserve">“Genoma a Dos Velocidades”</w:t>
      </w:r>
      <w:r>
        <w:t xml:space="preserve"> </w:t>
      </w:r>
      <w:r>
        <w:t xml:space="preserve">en el complejo de royas de la caña de azúcar:</w:t>
      </w:r>
    </w:p>
    <w:p>
      <w:pPr>
        <w:pStyle w:val="Compact"/>
        <w:numPr>
          <w:ilvl w:val="0"/>
          <w:numId w:val="1001"/>
        </w:numPr>
      </w:pPr>
      <w:r>
        <w:rPr>
          <w:b/>
          <w:bCs/>
        </w:rPr>
        <w:t xml:space="preserve">Un compartimiento accesorio (Plástico):</w:t>
      </w:r>
      <w:r>
        <w:t xml:space="preserve"> </w:t>
      </w:r>
      <w:r>
        <w:t xml:space="preserve">Altamente variable, caótico y masivo (representando más del 91% del ADN divergente). Este compartimento es el responsable de inflar el tamaño del genoma de</w:t>
      </w:r>
      <w:r>
        <w:t xml:space="preserve"> </w:t>
      </w:r>
      <w:r>
        <w:rPr>
          <w:i/>
          <w:iCs/>
        </w:rPr>
        <w:t xml:space="preserve">P. melanocephala</w:t>
      </w:r>
      <w:r>
        <w:t xml:space="preserve"> </w:t>
      </w:r>
      <w:r>
        <w:t xml:space="preserve">a más de 308 MB, impulsado presumiblemente por la actividad expansiva de Elementos Transponibles (TEs).</w:t>
      </w:r>
      <w:r>
        <w:t xml:space="preserve"> </w:t>
      </w:r>
      <w:r>
        <w:rPr>
          <w:i/>
          <w:iCs/>
        </w:rPr>
        <w:t xml:space="preserve">(Nota: La cuantificación y clasificación taxonómica de estas familias de transposones se documentará en el siguiente apartado).</w:t>
      </w:r>
    </w:p>
    <w:p>
      <w:pPr>
        <w:pStyle w:val="Compact"/>
        <w:numPr>
          <w:ilvl w:val="0"/>
          <w:numId w:val="1001"/>
        </w:numPr>
      </w:pPr>
      <w:r>
        <w:rPr>
          <w:b/>
          <w:bCs/>
        </w:rPr>
        <w:t xml:space="preserve">Un compartimiento núcleo (Core):</w:t>
      </w:r>
      <w:r>
        <w:t xml:space="preserve"> </w:t>
      </w:r>
      <w:r>
        <w:t xml:space="preserve">Representado por ese 8.6% de regiones conservadas. A pesar del caos estructural a su alrededor, este núcleo es sorprendentemente estable, con tasas de mutación ínfimas (170 SNPs) y fuertemente protegido por selección purificadora (Ka/Ks &lt; 1) para mantener intacta la maquinaria biológica esencial del hongo.</w:t>
      </w:r>
    </w:p>
    <w:bookmarkEnd w:id="25"/>
    <w:bookmarkStart w:id="26" w:name="Xd58e9468e1cb40f6a93cfa0268df80b831fb458"/>
    <w:p>
      <w:pPr>
        <w:pStyle w:val="Heading4"/>
      </w:pPr>
      <w:r>
        <w:t xml:space="preserve">3.2.4 Estructura Poblacional y Diversidad Genética (PCA)</w:t>
      </w:r>
    </w:p>
    <w:p>
      <w:pPr>
        <w:pStyle w:val="FirstParagraph"/>
      </w:pPr>
      <w:r>
        <w:t xml:space="preserve">Utilizando la matriz filogenómica de genoma completo (VCF) compuesta por las 44 cepas secuenciadas, se ejecutaron algoritmos de Genética de Poblaciones para cuantificar matemáticamente la distancia evolutiva entre los aislamientos y visualizar su estructura poblacional en un espacio bi-dimensional.</w:t>
      </w:r>
    </w:p>
    <w:bookmarkEnd w:id="26"/>
    <w:bookmarkStart w:id="30" w:name="análisis-de-componentes-principales-pca"/>
    <w:p>
      <w:pPr>
        <w:pStyle w:val="Heading4"/>
      </w:pPr>
      <w:r>
        <w:t xml:space="preserve">Análisis de Componentes Principales (PCA)</w:t>
      </w:r>
    </w:p>
    <w:p>
      <w:pPr>
        <w:pStyle w:val="FirstParagraph"/>
      </w:pPr>
      <w:r>
        <w:t xml:space="preserve">El Análisis de Componentes Principales redujo la dimensionalidad de las mutaciones genómicas compartidas, arrojando clústeres genéticos definidos.</w:t>
      </w:r>
    </w:p>
    <w:p>
      <w:pPr>
        <w:pStyle w:val="CaptionedFigure"/>
      </w:pPr>
      <w:r>
        <w:drawing>
          <wp:inline>
            <wp:extent cx="5334000" cy="4359965"/>
            <wp:effectExtent b="0" l="0" r="0" t="0"/>
            <wp:docPr descr="Estructura Poblacional PCA" title="" id="28" name="Picture"/>
            <a:graphic>
              <a:graphicData uri="http://schemas.openxmlformats.org/drawingml/2006/picture">
                <pic:pic>
                  <pic:nvPicPr>
                    <pic:cNvPr descr="file:///Users/estuvar4/.gemini/antigravity/brain/8248c59f-297d-47dd-aa15-844de167695d/pca_diversidad.png" id="29" name="Picture"/>
                    <pic:cNvPicPr>
                      <a:picLocks noChangeArrowheads="1" noChangeAspect="1"/>
                    </pic:cNvPicPr>
                  </pic:nvPicPr>
                  <pic:blipFill>
                    <a:blip r:embed="rId27"/>
                    <a:stretch>
                      <a:fillRect/>
                    </a:stretch>
                  </pic:blipFill>
                  <pic:spPr bwMode="auto">
                    <a:xfrm>
                      <a:off x="0" y="0"/>
                      <a:ext cx="5334000" cy="4359965"/>
                    </a:xfrm>
                    <a:prstGeom prst="rect">
                      <a:avLst/>
                    </a:prstGeom>
                    <a:noFill/>
                    <a:ln w="9525">
                      <a:noFill/>
                      <a:headEnd/>
                      <a:tailEnd/>
                    </a:ln>
                  </pic:spPr>
                </pic:pic>
              </a:graphicData>
            </a:graphic>
          </wp:inline>
        </w:drawing>
      </w:r>
    </w:p>
    <w:p>
      <w:pPr>
        <w:pStyle w:val="ImageCaption"/>
      </w:pPr>
      <w:r>
        <w:t xml:space="preserve">Estructura Poblacional PCA</w:t>
      </w:r>
    </w:p>
    <w:p>
      <w:pPr>
        <w:pStyle w:val="BodyText"/>
      </w:pPr>
      <w:r>
        <w:rPr>
          <w:b/>
          <w:bCs/>
        </w:rPr>
        <w:t xml:space="preserve">Discusión del PCA:</w:t>
      </w:r>
      <w:r>
        <w:t xml:space="preserve"> </w:t>
      </w:r>
      <w:r>
        <w:t xml:space="preserve">Como se observa en el gráfico, el Componente Principal 1 separa drásticamente al grupo externo (Roya del Álamo). Interesantemente, las 42 cepas mundiales de la Roya del Trigo forman un clado masivo altamente cohesivo (nube azul). La</w:t>
      </w:r>
      <w:r>
        <w:t xml:space="preserve"> </w:t>
      </w:r>
      <w:r>
        <w:rPr>
          <w:b/>
          <w:bCs/>
        </w:rPr>
        <w:t xml:space="preserve">Roya Café</w:t>
      </w:r>
      <w:r>
        <w:t xml:space="preserve"> </w:t>
      </w:r>
      <w:r>
        <w:t xml:space="preserve">emerge como un linaje completamente independiente (isla genética aislada), distanciándose radicalmente de los trigos. Esto confirma biológicamente la estricta especialización de hospedero que sufrió este patógeno al adaptarse exclusivamente a</w:t>
      </w:r>
      <w:r>
        <w:t xml:space="preserve"> </w:t>
      </w:r>
      <w:r>
        <w:rPr>
          <w:i/>
          <w:iCs/>
        </w:rPr>
        <w:t xml:space="preserve">Saccharum</w:t>
      </w:r>
      <w:r>
        <w:t xml:space="preserve">.</w:t>
      </w:r>
    </w:p>
    <w:bookmarkEnd w:id="30"/>
    <w:bookmarkStart w:id="31" w:name="X0729ff5e6525c3e7189f86fe6de5380802c2436"/>
    <w:p>
      <w:pPr>
        <w:pStyle w:val="Heading4"/>
      </w:pPr>
      <w:r>
        <w:t xml:space="preserve">3.2.5 Pérdida de Sintenia y Reestructuración Cromosómica</w:t>
      </w:r>
    </w:p>
    <w:p>
      <w:pPr>
        <w:pStyle w:val="FirstParagraph"/>
      </w:pPr>
      <w:r>
        <w:t xml:space="preserve">Para medir matemáticamente esta reestructuración, se realizó un análisis de colinealidad (Sintenia). De los más de 50,000 modelos génicos combinados,</w:t>
      </w:r>
      <w:r>
        <w:t xml:space="preserve"> </w:t>
      </w:r>
      <w:r>
        <w:rPr>
          <w:b/>
          <w:bCs/>
        </w:rPr>
        <w:t xml:space="preserve">solo 4,027 genes (el 7.99%)</w:t>
      </w:r>
      <w:r>
        <w:t xml:space="preserve"> </w:t>
      </w:r>
      <w:r>
        <w:t xml:space="preserve">conservan un orden espacial compartido en bloques sinténicos.</w:t>
      </w:r>
      <w:r>
        <w:t xml:space="preserve"> </w:t>
      </w:r>
      <w:r>
        <w:t xml:space="preserve">La destrucción de más del 92% de la sintenia original confirma que el genoma de la Roya Café no solo</w:t>
      </w:r>
      <w:r>
        <w:t xml:space="preserve"> </w:t>
      </w:r>
      <w:r>
        <w:t xml:space="preserve">“creció”</w:t>
      </w:r>
      <w:r>
        <w:t xml:space="preserve"> </w:t>
      </w:r>
      <w:r>
        <w:t xml:space="preserve">en tamaño, sino que sufrió un evento agresivo de barajado genómico (</w:t>
      </w:r>
      <w:r>
        <w:rPr>
          <w:i/>
          <w:iCs/>
        </w:rPr>
        <w:t xml:space="preserve">shuffling</w:t>
      </w:r>
      <w:r>
        <w:t xml:space="preserve">). Los transposones rompieron y reposicionaron los genes a tal grado que el orden original de los cromosomas del ancestro común quedó completamente pulverizado.</w:t>
      </w:r>
    </w:p>
    <w:p>
      <w:pPr>
        <w:pStyle w:val="BodyText"/>
      </w:pPr>
      <w:r>
        <w:rPr>
          <w:b/>
          <w:bCs/>
        </w:rPr>
        <w:t xml:space="preserve">Tabla 3.2: Resumen Estadístico del Análisis de Sintenia (Colinealidad)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 de Arquitectura Espacial</w:t>
            </w:r>
          </w:p>
        </w:tc>
        <w:tc>
          <w:tcPr/>
          <w:p>
            <w:pPr>
              <w:pStyle w:val="Compact"/>
              <w:jc w:val="left"/>
            </w:pPr>
            <w:r>
              <w:t xml:space="preserve">Valor Obtenido</w:t>
            </w:r>
          </w:p>
        </w:tc>
        <w:tc>
          <w:tcPr/>
          <w:p>
            <w:pPr>
              <w:pStyle w:val="Compact"/>
              <w:jc w:val="left"/>
            </w:pPr>
            <w:r>
              <w:t xml:space="preserve">Interpretación Biológica</w:t>
            </w:r>
          </w:p>
        </w:tc>
      </w:tr>
      <w:tr>
        <w:tc>
          <w:tcPr/>
          <w:p>
            <w:pPr>
              <w:pStyle w:val="Compact"/>
              <w:jc w:val="left"/>
            </w:pPr>
            <w:r>
              <w:rPr>
                <w:b/>
                <w:bCs/>
              </w:rPr>
              <w:t xml:space="preserve">Genes Totales Analizados</w:t>
            </w:r>
          </w:p>
        </w:tc>
        <w:tc>
          <w:tcPr/>
          <w:p>
            <w:pPr>
              <w:pStyle w:val="Compact"/>
              <w:jc w:val="left"/>
            </w:pPr>
            <w:r>
              <w:t xml:space="preserve">50,431 genes</w:t>
            </w:r>
          </w:p>
        </w:tc>
        <w:tc>
          <w:tcPr/>
          <w:p>
            <w:pPr>
              <w:pStyle w:val="Compact"/>
              <w:jc w:val="left"/>
            </w:pPr>
            <w:r>
              <w:t xml:space="preserve">Suma combinada de los modelos génicos de ambas royas.</w:t>
            </w:r>
          </w:p>
        </w:tc>
      </w:tr>
      <w:tr>
        <w:tc>
          <w:tcPr/>
          <w:p>
            <w:pPr>
              <w:pStyle w:val="Compact"/>
              <w:jc w:val="left"/>
            </w:pPr>
            <w:r>
              <w:rPr>
                <w:b/>
                <w:bCs/>
              </w:rPr>
              <w:t xml:space="preserve">Bloques Sinténicos Conservados</w:t>
            </w:r>
          </w:p>
        </w:tc>
        <w:tc>
          <w:tcPr/>
          <w:p>
            <w:pPr>
              <w:pStyle w:val="Compact"/>
              <w:jc w:val="left"/>
            </w:pPr>
            <w:r>
              <w:t xml:space="preserve">300 bloques</w:t>
            </w:r>
          </w:p>
        </w:tc>
        <w:tc>
          <w:tcPr/>
          <w:p>
            <w:pPr>
              <w:pStyle w:val="Compact"/>
              <w:jc w:val="left"/>
            </w:pPr>
            <w:r>
              <w:t xml:space="preserve">Fragmentos cromosómicos que sobrevivieron intactos a la evolución.</w:t>
            </w:r>
          </w:p>
        </w:tc>
      </w:tr>
      <w:tr>
        <w:tc>
          <w:tcPr/>
          <w:p>
            <w:pPr>
              <w:pStyle w:val="Compact"/>
              <w:jc w:val="left"/>
            </w:pPr>
            <w:r>
              <w:rPr>
                <w:b/>
                <w:bCs/>
              </w:rPr>
              <w:t xml:space="preserve">Total de Genes Colineales</w:t>
            </w:r>
          </w:p>
        </w:tc>
        <w:tc>
          <w:tcPr/>
          <w:p>
            <w:pPr>
              <w:pStyle w:val="Compact"/>
              <w:jc w:val="left"/>
            </w:pPr>
            <w:r>
              <w:t xml:space="preserve">4,027 genes</w:t>
            </w:r>
          </w:p>
        </w:tc>
        <w:tc>
          <w:tcPr/>
          <w:p>
            <w:pPr>
              <w:pStyle w:val="Compact"/>
              <w:jc w:val="left"/>
            </w:pPr>
            <w:r>
              <w:t xml:space="preserve">Genes que mantienen exactamente el mismo orden ortólogo espacial.</w:t>
            </w:r>
          </w:p>
        </w:tc>
      </w:tr>
      <w:tr>
        <w:tc>
          <w:tcPr/>
          <w:p>
            <w:pPr>
              <w:pStyle w:val="Compact"/>
              <w:jc w:val="left"/>
            </w:pPr>
            <w:r>
              <w:rPr>
                <w:b/>
                <w:bCs/>
              </w:rPr>
              <w:t xml:space="preserve">Porcentaje de Sintenia Conservada</w:t>
            </w:r>
          </w:p>
        </w:tc>
        <w:tc>
          <w:tcPr/>
          <w:p>
            <w:pPr>
              <w:pStyle w:val="Compact"/>
              <w:jc w:val="left"/>
            </w:pPr>
            <w:r>
              <w:rPr>
                <w:b/>
                <w:bCs/>
              </w:rPr>
              <w:t xml:space="preserve">7.99%</w:t>
            </w:r>
          </w:p>
        </w:tc>
        <w:tc>
          <w:tcPr/>
          <w:p>
            <w:pPr>
              <w:pStyle w:val="Compact"/>
              <w:jc w:val="left"/>
            </w:pPr>
            <w:r>
              <w:t xml:space="preserve">Grado de homología espacial. Extraordinariamente bajo para especies hermanas.</w:t>
            </w:r>
          </w:p>
        </w:tc>
      </w:tr>
      <w:tr>
        <w:tc>
          <w:tcPr/>
          <w:p>
            <w:pPr>
              <w:pStyle w:val="Compact"/>
              <w:jc w:val="left"/>
            </w:pPr>
            <w:r>
              <w:rPr>
                <w:b/>
                <w:bCs/>
              </w:rPr>
              <w:t xml:space="preserve">Pérdida/Reestructuración Espacial</w:t>
            </w:r>
          </w:p>
        </w:tc>
        <w:tc>
          <w:tcPr/>
          <w:p>
            <w:pPr>
              <w:pStyle w:val="Compact"/>
              <w:jc w:val="left"/>
            </w:pPr>
            <w:r>
              <w:rPr>
                <w:b/>
                <w:bCs/>
              </w:rPr>
              <w:t xml:space="preserve">92.01%</w:t>
            </w:r>
          </w:p>
        </w:tc>
        <w:tc>
          <w:tcPr/>
          <w:p>
            <w:pPr>
              <w:pStyle w:val="Compact"/>
              <w:jc w:val="left"/>
            </w:pPr>
            <w:r>
              <w:t xml:space="preserve">Fracción del genoma que fue movida, reordenada o rota (</w:t>
            </w:r>
            <w:r>
              <w:rPr>
                <w:i/>
                <w:iCs/>
              </w:rPr>
              <w:t xml:space="preserve">shuffling</w:t>
            </w:r>
            <w:r>
              <w:t xml:space="preserve">), impulsada por TEs.</w:t>
            </w:r>
          </w:p>
        </w:tc>
      </w:tr>
    </w:tbl>
    <w:p>
      <w:pPr>
        <w:pStyle w:val="BodyText"/>
      </w:pPr>
      <w:r>
        <w:rPr>
          <w:i/>
          <w:iCs/>
        </w:rPr>
        <w:t xml:space="preserve">(Nota técnica y parámetros bioinformáticos: El análisis de colinealidad espacial se ejecutó estableciendo un umbral mínimo de 5 genes consecutivos [MATCH_SIZE = 5] para consolidar un bloque sinténico válido, permitiendo una disrupción máxima de 25 genes forasteros [MAX_GAPS = 25]).</w:t>
      </w:r>
    </w:p>
    <w:p>
      <w:pPr>
        <w:pStyle w:val="BodyText"/>
      </w:pPr>
      <w:r>
        <w:rPr>
          <w:b/>
          <w:bCs/>
        </w:rPr>
        <w:t xml:space="preserve">¿Por qué la sintenia es tan excepcionalmente baja entre especies hermanas?</w:t>
      </w:r>
      <w:r>
        <w:t xml:space="preserve"> </w:t>
      </w:r>
      <w:r>
        <w:t xml:space="preserve">En eucariotas o especies cercanamente emparentadas, la colinealidad suele superar el 70%. La caída abrupta al 7.99% en estas royas se explica por tres fenómenos biológicos adaptativos descubiertos en este análisis:</w:t>
      </w:r>
      <w:r>
        <w:t xml:space="preserve"> </w:t>
      </w:r>
      <w:r>
        <w:t xml:space="preserve">1.</w:t>
      </w:r>
      <w:r>
        <w:t xml:space="preserve"> </w:t>
      </w:r>
      <w:r>
        <w:rPr>
          <w:b/>
          <w:bCs/>
        </w:rPr>
        <w:t xml:space="preserve">Recombinación Ilegítima por TEs:</w:t>
      </w:r>
      <w:r>
        <w:t xml:space="preserve"> </w:t>
      </w:r>
      <w:r>
        <w:t xml:space="preserve">La invasión masiva de Elementos Transponibles actuó como una</w:t>
      </w:r>
      <w:r>
        <w:t xml:space="preserve"> </w:t>
      </w:r>
      <w:r>
        <w:t xml:space="preserve">“licuadora genómica”</w:t>
      </w:r>
      <w:r>
        <w:t xml:space="preserve">. Las secuencias altamente repetitivas provocaron que los cromosomas se emparejaran erróneamente durante la división celular, causando translocaciones e inversiones masivas que destruyeron el orden espacial 1:1 original.</w:t>
      </w:r>
      <w:r>
        <w:t xml:space="preserve"> </w:t>
      </w:r>
      <w:r>
        <w:t xml:space="preserve">2.</w:t>
      </w:r>
      <w:r>
        <w:t xml:space="preserve"> </w:t>
      </w:r>
      <w:r>
        <w:rPr>
          <w:b/>
          <w:bCs/>
        </w:rPr>
        <w:t xml:space="preserve">Ruido de Parálogos (Clonación):</w:t>
      </w:r>
      <w:r>
        <w:t xml:space="preserve"> </w:t>
      </w:r>
      <w:r>
        <w:t xml:space="preserve">Al fotocopiar masivamente sus herramientas biológicas (13,609 copias redundantes en la Roya Café), el rastro del</w:t>
      </w:r>
      <w:r>
        <w:t xml:space="preserve"> </w:t>
      </w:r>
      <w:r>
        <w:t xml:space="preserve">“esqueleto”</w:t>
      </w:r>
      <w:r>
        <w:t xml:space="preserve"> </w:t>
      </w:r>
      <w:r>
        <w:t xml:space="preserve">genómico ancestral desaparece bajo miles de copias esparcidas aleatoriamente por los contigs, rompiendo la continuidad matemática requerida para formar bloques sinténicos.</w:t>
      </w:r>
      <w:r>
        <w:t xml:space="preserve"> </w:t>
      </w:r>
      <w:r>
        <w:t xml:space="preserve">3.</w:t>
      </w:r>
      <w:r>
        <w:t xml:space="preserve"> </w:t>
      </w:r>
      <w:r>
        <w:rPr>
          <w:b/>
          <w:bCs/>
        </w:rPr>
        <w:t xml:space="preserve">La Ventaja Evolutiva de la Inestabilidad:</w:t>
      </w:r>
      <w:r>
        <w:t xml:space="preserve"> </w:t>
      </w:r>
      <w:r>
        <w:t xml:space="preserve">Para un patógeno biótrofo obligado, un genoma ordenado y rígido es un callejón sin salida. Pulverizar la arquitectura cromosómica otorga una plasticidad genómica inmensa, acelerando la tasa de recombinación y mutación de sus armas (genes efectores). Esto le permite a la roya adaptarse velozmente a las nuevas variedades resistentes de caña de azúcar desarrolladas por el ser humano.</w:t>
      </w:r>
    </w:p>
    <w:bookmarkEnd w:id="31"/>
    <w:bookmarkStart w:id="32" w:name="Xad2d58314aec91ee167ebacba254ecbb36e6e93"/>
    <w:p>
      <w:pPr>
        <w:pStyle w:val="Heading4"/>
      </w:pPr>
      <w:r>
        <w:t xml:space="preserve">3.2.6 Identificación y Cuantificación de Elementos Transponibles (TEs)</w:t>
      </w:r>
    </w:p>
    <w:p>
      <w:pPr>
        <w:pStyle w:val="FirstParagraph"/>
      </w:pPr>
      <w:r>
        <w:t xml:space="preserve">Para comprender qué causó el gran tamaño del genoma de la Roya Café (</w:t>
      </w:r>
      <w:r>
        <w:rPr>
          <w:i/>
          <w:iCs/>
        </w:rPr>
        <w:t xml:space="preserve">P. melanocephala</w:t>
      </w:r>
      <w:r>
        <w:t xml:space="preserve">, 308 MB) y por qué se perdió el orden cromosómico original (sintenia) al compararlo con la Roya Naranja (</w:t>
      </w:r>
      <w:r>
        <w:rPr>
          <w:i/>
          <w:iCs/>
        </w:rPr>
        <w:t xml:space="preserve">P. kuehnii</w:t>
      </w:r>
      <w:r>
        <w:t xml:space="preserve">), se analizó el contenido de secuencias repetitivas en ambos hongos.</w:t>
      </w:r>
    </w:p>
    <w:p>
      <w:pPr>
        <w:pStyle w:val="BodyText"/>
      </w:pPr>
      <w:r>
        <w:t xml:space="preserve">Mediante el descubrimiento bioinformático de familias de transposones, se logró medir exactamente qué porcentaje de cada genoma está compuesto por este tipo de secuencias móviles.</w:t>
      </w:r>
    </w:p>
    <w:p>
      <w:pPr>
        <w:pStyle w:val="BodyText"/>
      </w:pPr>
      <w:r>
        <w:rPr>
          <w:b/>
          <w:bCs/>
        </w:rPr>
        <w:t xml:space="preserve">Tabla 3.6.1. Contenido de Elementos Transponibles en Roya Café y Roya Naranja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Roya Café (</w:t>
            </w:r>
            <w:r>
              <w:rPr>
                <w:i/>
                <w:iCs/>
              </w:rPr>
              <w:t xml:space="preserve">P. melanocephala</w:t>
            </w:r>
            <w:r>
              <w:t xml:space="preserve">)</w:t>
            </w:r>
          </w:p>
        </w:tc>
        <w:tc>
          <w:tcPr/>
          <w:p>
            <w:pPr>
              <w:pStyle w:val="Compact"/>
              <w:jc w:val="left"/>
            </w:pPr>
            <w:r>
              <w:t xml:space="preserve">Roya Naranja (</w:t>
            </w:r>
            <w:r>
              <w:rPr>
                <w:i/>
                <w:iCs/>
              </w:rPr>
              <w:t xml:space="preserve">P. kuehnii</w:t>
            </w:r>
            <w:r>
              <w:t xml:space="preserve">)</w:t>
            </w:r>
          </w:p>
        </w:tc>
      </w:tr>
      <w:tr>
        <w:tc>
          <w:tcPr/>
          <w:p>
            <w:pPr>
              <w:pStyle w:val="Compact"/>
              <w:jc w:val="left"/>
            </w:pPr>
            <w:r>
              <w:rPr>
                <w:b/>
                <w:bCs/>
              </w:rPr>
              <w:t xml:space="preserve">Pares de Bases Ocupadas por TEs</w:t>
            </w:r>
          </w:p>
        </w:tc>
        <w:tc>
          <w:tcPr/>
          <w:p>
            <w:pPr>
              <w:pStyle w:val="Compact"/>
              <w:jc w:val="left"/>
            </w:pPr>
            <w:r>
              <w:t xml:space="preserve">188.3 Millones de bases</w:t>
            </w:r>
          </w:p>
        </w:tc>
        <w:tc>
          <w:tcPr/>
          <w:p>
            <w:pPr>
              <w:pStyle w:val="Compact"/>
              <w:jc w:val="left"/>
            </w:pPr>
            <w:r>
              <w:t xml:space="preserve">130.2 Millones de bases</w:t>
            </w:r>
          </w:p>
        </w:tc>
      </w:tr>
      <w:tr>
        <w:tc>
          <w:tcPr/>
          <w:p>
            <w:pPr>
              <w:pStyle w:val="Compact"/>
              <w:jc w:val="left"/>
            </w:pPr>
            <w:r>
              <w:rPr>
                <w:b/>
                <w:bCs/>
              </w:rPr>
              <w:t xml:space="preserve">Porcentaje Total del Genoma (TEs)</w:t>
            </w:r>
          </w:p>
        </w:tc>
        <w:tc>
          <w:tcPr/>
          <w:p>
            <w:pPr>
              <w:pStyle w:val="Compact"/>
              <w:jc w:val="left"/>
            </w:pPr>
            <w:r>
              <w:rPr>
                <w:b/>
                <w:bCs/>
              </w:rPr>
              <w:t xml:space="preserve">58.3%</w:t>
            </w:r>
          </w:p>
        </w:tc>
        <w:tc>
          <w:tcPr/>
          <w:p>
            <w:pPr>
              <w:pStyle w:val="Compact"/>
              <w:jc w:val="left"/>
            </w:pPr>
            <w:r>
              <w:rPr>
                <w:b/>
                <w:bCs/>
              </w:rPr>
              <w:t xml:space="preserve">48.6%</w:t>
            </w:r>
          </w:p>
        </w:tc>
      </w:tr>
    </w:tbl>
    <w:bookmarkEnd w:id="32"/>
    <w:bookmarkStart w:id="33" w:name="X6d3c53290e4a5b68de3e8fec522c72b74645d3a"/>
    <w:p>
      <w:pPr>
        <w:pStyle w:val="Heading4"/>
      </w:pPr>
      <w:r>
        <w:t xml:space="preserve">Discusión: El Papel de los Transposones en la Expansión del Genoma</w:t>
      </w:r>
    </w:p>
    <w:p>
      <w:pPr>
        <w:pStyle w:val="FirstParagraph"/>
      </w:pPr>
      <w:r>
        <w:t xml:space="preserve">Los resultados demuestran que casi el 60% del ADN total de</w:t>
      </w:r>
      <w:r>
        <w:t xml:space="preserve"> </w:t>
      </w:r>
      <w:r>
        <w:rPr>
          <w:i/>
          <w:iCs/>
        </w:rPr>
        <w:t xml:space="preserve">P. melanocephala</w:t>
      </w:r>
      <w:r>
        <w:t xml:space="preserve"> </w:t>
      </w:r>
      <w:r>
        <w:t xml:space="preserve">está compuesto por Elementos Transponibles.</w:t>
      </w:r>
    </w:p>
    <w:p>
      <w:pPr>
        <w:pStyle w:val="BodyText"/>
      </w:pPr>
      <w:r>
        <w:t xml:space="preserve">Estos datos biológicos indican que el mayor tamaño del genoma de la Roya Café (308 MB frente a los 267 MB de la Naranja) se debe casi en su totalidad a la multiplicación de los transposones. A medida que estas secuencias se copiaron y pegaron a lo largo de los cromosomas a través del tiempo, alteraron el orden original de los genes (lo que explica la caída de la sintenia al 7.9%) y crearon amplias regiones repetitivas. En los patógenos de plantas, estas extensas regiones de transposones son clave, ya que funcionan como zonas donde los genes de virulencia pueden duplicarse y mutar más rápidamente.</w:t>
      </w:r>
    </w:p>
    <w:bookmarkEnd w:id="33"/>
    <w:bookmarkStart w:id="34" w:name="X4c741ebe0ddbbea29619291f5bd11d5a46812e8"/>
    <w:p>
      <w:pPr>
        <w:pStyle w:val="Heading4"/>
      </w:pPr>
      <w:r>
        <w:t xml:space="preserve">Proximidad Física entre Genes y Elementos Transponibles</w:t>
      </w:r>
    </w:p>
    <w:p>
      <w:pPr>
        <w:pStyle w:val="FirstParagraph"/>
      </w:pPr>
      <w:r>
        <w:t xml:space="preserve">Para dimensionar el impacto real de los transposones sobre la maquinaria biológica del hongo, se cruzaron las coordenadas físicas de todos los genes anotados contra las coordenadas de las regiones repetitivas descubiertas. El objetivo fue medir, a lo largo de todos los cromosomas, a qué distancia exacta (en pares de bases) habita cada gen de su transposón más cercano.</w:t>
      </w:r>
    </w:p>
    <w:p>
      <w:pPr>
        <w:pStyle w:val="BodyText"/>
      </w:pPr>
      <w:r>
        <w:rPr>
          <w:b/>
          <w:bCs/>
        </w:rPr>
        <w:t xml:space="preserve">Tabla 3.6.2. Distribución Espacial de Genes respecto a los Elementos Transponibles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Arquitectura Genómica (Distancia Gen-TE)</w:t>
            </w:r>
          </w:p>
        </w:tc>
        <w:tc>
          <w:tcPr/>
          <w:p>
            <w:pPr>
              <w:pStyle w:val="Compact"/>
              <w:jc w:val="left"/>
            </w:pPr>
            <w:r>
              <w:t xml:space="preserve">Roya Café (</w:t>
            </w:r>
            <w:r>
              <w:rPr>
                <w:i/>
                <w:iCs/>
              </w:rPr>
              <w:t xml:space="preserve">P. melanocephala</w:t>
            </w:r>
            <w:r>
              <w:t xml:space="preserve">)</w:t>
            </w:r>
          </w:p>
        </w:tc>
        <w:tc>
          <w:tcPr/>
          <w:p>
            <w:pPr>
              <w:pStyle w:val="Compact"/>
              <w:jc w:val="left"/>
            </w:pPr>
            <w:r>
              <w:t xml:space="preserve">Roya Naranja (</w:t>
            </w:r>
            <w:r>
              <w:rPr>
                <w:i/>
                <w:iCs/>
              </w:rPr>
              <w:t xml:space="preserve">P. kuehnii</w:t>
            </w:r>
            <w:r>
              <w:t xml:space="preserve">)</w:t>
            </w:r>
          </w:p>
        </w:tc>
      </w:tr>
      <w:tr>
        <w:tc>
          <w:tcPr/>
          <w:p>
            <w:pPr>
              <w:pStyle w:val="Compact"/>
              <w:jc w:val="left"/>
            </w:pPr>
            <w:r>
              <w:rPr>
                <w:b/>
                <w:bCs/>
              </w:rPr>
              <w:t xml:space="preserve">Genes invadidos o tocando TEs (Distancia 0 pb)</w:t>
            </w:r>
          </w:p>
        </w:tc>
        <w:tc>
          <w:tcPr/>
          <w:p>
            <w:pPr>
              <w:pStyle w:val="Compact"/>
              <w:jc w:val="left"/>
            </w:pPr>
            <w:r>
              <w:t xml:space="preserve">61.0%</w:t>
            </w:r>
          </w:p>
        </w:tc>
        <w:tc>
          <w:tcPr/>
          <w:p>
            <w:pPr>
              <w:pStyle w:val="Compact"/>
              <w:jc w:val="left"/>
            </w:pPr>
            <w:r>
              <w:t xml:space="preserve">45.3%</w:t>
            </w:r>
          </w:p>
        </w:tc>
      </w:tr>
      <w:tr>
        <w:tc>
          <w:tcPr/>
          <w:p>
            <w:pPr>
              <w:pStyle w:val="Compact"/>
              <w:jc w:val="left"/>
            </w:pPr>
            <w:r>
              <w:rPr>
                <w:b/>
                <w:bCs/>
              </w:rPr>
              <w:t xml:space="preserve">Genes muy cercanos a TEs (&lt; 2,000 pb)</w:t>
            </w:r>
          </w:p>
        </w:tc>
        <w:tc>
          <w:tcPr/>
          <w:p>
            <w:pPr>
              <w:pStyle w:val="Compact"/>
              <w:jc w:val="left"/>
            </w:pPr>
            <w:r>
              <w:t xml:space="preserve">30.8%</w:t>
            </w:r>
          </w:p>
        </w:tc>
        <w:tc>
          <w:tcPr/>
          <w:p>
            <w:pPr>
              <w:pStyle w:val="Compact"/>
              <w:jc w:val="left"/>
            </w:pPr>
            <w:r>
              <w:t xml:space="preserve">23.7%</w:t>
            </w:r>
          </w:p>
        </w:tc>
      </w:tr>
      <w:tr>
        <w:tc>
          <w:tcPr/>
          <w:p>
            <w:pPr>
              <w:pStyle w:val="Compact"/>
              <w:jc w:val="left"/>
            </w:pPr>
            <w:r>
              <w:rPr>
                <w:b/>
                <w:bCs/>
              </w:rPr>
              <w:t xml:space="preserve">Genes en el Compartimiento Dinámico/Accesorio</w:t>
            </w:r>
          </w:p>
        </w:tc>
        <w:tc>
          <w:tcPr/>
          <w:p>
            <w:pPr>
              <w:pStyle w:val="Compact"/>
              <w:jc w:val="left"/>
            </w:pPr>
            <w:r>
              <w:rPr>
                <w:b/>
                <w:bCs/>
              </w:rPr>
              <w:t xml:space="preserve">91.8%</w:t>
            </w:r>
          </w:p>
        </w:tc>
        <w:tc>
          <w:tcPr/>
          <w:p>
            <w:pPr>
              <w:pStyle w:val="Compact"/>
              <w:jc w:val="left"/>
            </w:pPr>
            <w:r>
              <w:rPr>
                <w:b/>
                <w:bCs/>
              </w:rPr>
              <w:t xml:space="preserve">69.0%</w:t>
            </w:r>
          </w:p>
        </w:tc>
      </w:tr>
      <w:tr>
        <w:tc>
          <w:tcPr/>
          <w:p>
            <w:pPr>
              <w:pStyle w:val="Compact"/>
              <w:jc w:val="left"/>
            </w:pPr>
            <w:r>
              <w:rPr>
                <w:b/>
                <w:bCs/>
              </w:rPr>
              <w:t xml:space="preserve">Genes aislados en Zonas Estables/Core (&gt; 2,000 pb)</w:t>
            </w:r>
          </w:p>
        </w:tc>
        <w:tc>
          <w:tcPr/>
          <w:p>
            <w:pPr>
              <w:pStyle w:val="Compact"/>
              <w:jc w:val="left"/>
            </w:pPr>
            <w:r>
              <w:t xml:space="preserve">8.2%</w:t>
            </w:r>
          </w:p>
        </w:tc>
        <w:tc>
          <w:tcPr/>
          <w:p>
            <w:pPr>
              <w:pStyle w:val="Compact"/>
              <w:jc w:val="left"/>
            </w:pPr>
            <w:r>
              <w:t xml:space="preserve">31.0%</w:t>
            </w:r>
          </w:p>
        </w:tc>
      </w:tr>
    </w:tbl>
    <w:p>
      <w:pPr>
        <w:pStyle w:val="BodyText"/>
      </w:pPr>
      <w:r>
        <w:t xml:space="preserve">Estos resultados revelan un contraste genómico extremo. Mientras que la Roya Naranja mantiene a casi un tercio de sus genes (31.0%) protegidos en</w:t>
      </w:r>
      <w:r>
        <w:t xml:space="preserve"> </w:t>
      </w:r>
      <w:r>
        <w:t xml:space="preserve">“zonas seguras”</w:t>
      </w:r>
      <w:r>
        <w:t xml:space="preserve"> </w:t>
      </w:r>
      <w:r>
        <w:t xml:space="preserve">lejos de la actividad de los elementos móviles, la Roya Café ha sufrido una invasión generalizada de sus espacios funcionales.</w:t>
      </w:r>
    </w:p>
    <w:p>
      <w:pPr>
        <w:pStyle w:val="BodyText"/>
      </w:pPr>
      <w:r>
        <w:t xml:space="preserve">De manera contundente, el</w:t>
      </w:r>
      <w:r>
        <w:t xml:space="preserve"> </w:t>
      </w:r>
      <w:r>
        <w:rPr>
          <w:b/>
          <w:bCs/>
        </w:rPr>
        <w:t xml:space="preserve">91.8% de todos los genes de</w:t>
      </w:r>
      <w:r>
        <w:rPr>
          <w:b/>
          <w:bCs/>
        </w:rPr>
        <w:t xml:space="preserve"> </w:t>
      </w:r>
      <w:r>
        <w:rPr>
          <w:b/>
          <w:bCs/>
          <w:i/>
          <w:iCs/>
        </w:rPr>
        <w:t xml:space="preserve">P. melanocephala</w:t>
      </w:r>
      <w:r>
        <w:t xml:space="preserve"> </w:t>
      </w:r>
      <w:r>
        <w:t xml:space="preserve">residen físicamente incrustados o fuertemente flanqueados por transposones. Esta abrumadora proximidad física es la comprobación estructural del modelo de</w:t>
      </w:r>
      <w:r>
        <w:t xml:space="preserve"> </w:t>
      </w:r>
      <w:r>
        <w:t xml:space="preserve">“Genoma a Dos Velocidades”</w:t>
      </w:r>
      <w:r>
        <w:t xml:space="preserve">. Al vivir rodeados de ADN parasitario y móvil, los genes de la Roya Café son arrastrados inadvertidamente cada vez que un transposón</w:t>
      </w:r>
      <w:r>
        <w:t xml:space="preserve"> </w:t>
      </w:r>
      <w:r>
        <w:t xml:space="preserve">“salta”</w:t>
      </w:r>
      <w:r>
        <w:t xml:space="preserve"> </w:t>
      </w:r>
      <w:r>
        <w:t xml:space="preserve">a otra parte del genoma. Esto explica mecánicamente por qué este patógeno logró inflar su conteo artificial de genes (a través de duplicaciones masivas) y por qué presenta las aceleradas tasas de mutación adaptativa documentadas en el capítulo posterior.</w:t>
      </w:r>
    </w:p>
    <w:p>
      <w:pPr>
        <w:pStyle w:val="BodyText"/>
      </w:pPr>
      <w:r>
        <w:rPr>
          <w:i/>
          <w:iCs/>
        </w:rPr>
        <w:t xml:space="preserve">(Nota: La clasificación taxonómica de los tipos específicos de transposones, como la proporción de LTR/Gypsy frente a LTR/Copia, se presentará posteriormente tras completar la anotación contra la base de datos Dfam).</w:t>
      </w:r>
    </w:p>
    <w:bookmarkEnd w:id="34"/>
    <w:bookmarkStart w:id="35" w:name="X7acb1b953a057dfd6228152eba97f379715645d"/>
    <w:p>
      <w:pPr>
        <w:pStyle w:val="Heading4"/>
      </w:pPr>
      <w:r>
        <w:t xml:space="preserve">3.2.7 Presión Evolutiva (Ka/Ks) y Carrera Armamentista</w:t>
      </w:r>
    </w:p>
    <w:p>
      <w:pPr>
        <w:pStyle w:val="FirstParagraph"/>
      </w:pPr>
      <w:r>
        <w:t xml:space="preserve">Para comprender qué genes están mutando para evadir a la caña de azúcar, se calculó la presión selectiva (relación Ka/Ks) sobre los pares de genes ortólogos entre la Roya Café y la Roya Naranja.</w:t>
      </w:r>
    </w:p>
    <w:p>
      <w:pPr>
        <w:pStyle w:val="BodyText"/>
      </w:pPr>
      <w:r>
        <w:t xml:space="preserve">El genoma demostró un comportamiento clásico de supervivencia basal: el</w:t>
      </w:r>
      <w:r>
        <w:t xml:space="preserve"> </w:t>
      </w:r>
      <w:r>
        <w:rPr>
          <w:b/>
          <w:bCs/>
        </w:rPr>
        <w:t xml:space="preserve">73.5% de los genes ortólogos está bajo selección purificadora (Ka/Ks &lt; 1)</w:t>
      </w:r>
      <w:r>
        <w:t xml:space="preserve"> </w:t>
      </w:r>
      <w:r>
        <w:t xml:space="preserve">(promediando 0.76). La evolución castiga y elimina cualquier mutación en estos genes porque codifican proteínas estructurales críticas (ej. Proteínas ribosomales L11/L12 o Helicasas de ADN con Ka/Ks cercano a 0.01).</w:t>
      </w:r>
    </w:p>
    <w:p>
      <w:pPr>
        <w:pStyle w:val="BodyText"/>
      </w:pPr>
      <w:r>
        <w:t xml:space="preserve">Sin embargo, el hallazgo más agresivo es que un altísimo</w:t>
      </w:r>
      <w:r>
        <w:t xml:space="preserve"> </w:t>
      </w:r>
      <w:r>
        <w:rPr>
          <w:b/>
          <w:bCs/>
        </w:rPr>
        <w:t xml:space="preserve">26.5% de los genes analizados se encuentra bajo fuerte selección positiva (Ka/Ks &gt; 1)</w:t>
      </w:r>
      <w:r>
        <w:t xml:space="preserve">. Este porcentaje de</w:t>
      </w:r>
      <w:r>
        <w:t xml:space="preserve"> </w:t>
      </w:r>
      <w:r>
        <w:t xml:space="preserve">“hiper-mutación”</w:t>
      </w:r>
      <w:r>
        <w:t xml:space="preserve"> </w:t>
      </w:r>
      <w:r>
        <w:t xml:space="preserve">es el sello distintivo biológico de la llamada carrera armamentista (</w:t>
      </w:r>
      <w:r>
        <w:rPr>
          <w:i/>
          <w:iCs/>
        </w:rPr>
        <w:t xml:space="preserve">arms race</w:t>
      </w:r>
      <w:r>
        <w:t xml:space="preserve">): el hongo fuerza mutaciones constantes en familias génicas específicas para evadir las defensas inmunológicas del hospedero.</w:t>
      </w:r>
    </w:p>
    <w:p>
      <w:pPr>
        <w:pStyle w:val="BodyText"/>
      </w:pPr>
      <w:r>
        <w:rPr>
          <w:b/>
          <w:bCs/>
        </w:rPr>
        <w:t xml:space="preserve">Tabla 3.3a: Familias Génicas Bajo Selección Positiva (Alta Mutación Adaptativa)</w:t>
      </w:r>
      <w:r>
        <w:t xml:space="preserve"> </w:t>
      </w:r>
      <w:r>
        <w:t xml:space="preserve">Las siguientes familias representan el frente de ataque del hongo. Al haber acumulado la mayor cantidad de mutaciones adaptativas (Ka/Ks &gt; 1) desde su divergencia evolutiva, son las principales responsables de evadir a las nuevas variedades de caña. La tabla incluye el número de copias retenidas en cada genoma para dimensionar su expansión.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Familia de Genes (Top Mutantes)</w:t>
            </w:r>
          </w:p>
        </w:tc>
        <w:tc>
          <w:tcPr/>
          <w:p>
            <w:pPr>
              <w:pStyle w:val="Compact"/>
              <w:jc w:val="left"/>
            </w:pPr>
            <w:r>
              <w:t xml:space="preserve">Relación Ka/Ks (Promedio)</w:t>
            </w:r>
          </w:p>
        </w:tc>
        <w:tc>
          <w:tcPr/>
          <w:p>
            <w:pPr>
              <w:pStyle w:val="Compact"/>
              <w:jc w:val="left"/>
            </w:pPr>
            <w:r>
              <w:t xml:space="preserve">Copias (Café)</w:t>
            </w:r>
          </w:p>
        </w:tc>
        <w:tc>
          <w:tcPr/>
          <w:p>
            <w:pPr>
              <w:pStyle w:val="Compact"/>
              <w:jc w:val="left"/>
            </w:pPr>
            <w:r>
              <w:t xml:space="preserve">Copias (Naranja)</w:t>
            </w:r>
          </w:p>
        </w:tc>
        <w:tc>
          <w:tcPr/>
          <w:p>
            <w:pPr>
              <w:pStyle w:val="Compact"/>
              <w:jc w:val="left"/>
            </w:pPr>
            <w:r>
              <w:t xml:space="preserve">Función Biológica en la Patogénesis</w:t>
            </w:r>
          </w:p>
        </w:tc>
      </w:tr>
      <w:tr>
        <w:tc>
          <w:tcPr/>
          <w:p>
            <w:pPr>
              <w:pStyle w:val="Compact"/>
              <w:jc w:val="left"/>
            </w:pPr>
            <w:r>
              <w:rPr>
                <w:b/>
                <w:bCs/>
              </w:rPr>
              <w:t xml:space="preserve">Transportadores OPT</w:t>
            </w:r>
          </w:p>
        </w:tc>
        <w:tc>
          <w:tcPr/>
          <w:p>
            <w:pPr>
              <w:pStyle w:val="Compact"/>
              <w:jc w:val="left"/>
            </w:pPr>
            <w:r>
              <w:rPr>
                <w:b/>
                <w:bCs/>
              </w:rPr>
              <w:t xml:space="preserve">5.580</w:t>
            </w:r>
          </w:p>
        </w:tc>
        <w:tc>
          <w:tcPr/>
          <w:p>
            <w:pPr>
              <w:pStyle w:val="Compact"/>
              <w:jc w:val="left"/>
            </w:pPr>
            <w:r>
              <w:t xml:space="preserve">22</w:t>
            </w:r>
          </w:p>
        </w:tc>
        <w:tc>
          <w:tcPr/>
          <w:p>
            <w:pPr>
              <w:pStyle w:val="Compact"/>
              <w:jc w:val="left"/>
            </w:pPr>
            <w:r>
              <w:t xml:space="preserve">26</w:t>
            </w:r>
          </w:p>
        </w:tc>
        <w:tc>
          <w:tcPr/>
          <w:p>
            <w:pPr>
              <w:pStyle w:val="Compact"/>
              <w:jc w:val="left"/>
            </w:pPr>
            <w:r>
              <w:t xml:space="preserve">Membrana: secuestrar nutrientes o secretar toxinas velozmente.</w:t>
            </w:r>
          </w:p>
        </w:tc>
      </w:tr>
      <w:tr>
        <w:tc>
          <w:tcPr/>
          <w:p>
            <w:pPr>
              <w:pStyle w:val="Compact"/>
              <w:jc w:val="left"/>
            </w:pPr>
            <w:r>
              <w:rPr>
                <w:b/>
                <w:bCs/>
              </w:rPr>
              <w:t xml:space="preserve">Peptidasas Familia M16</w:t>
            </w:r>
          </w:p>
        </w:tc>
        <w:tc>
          <w:tcPr/>
          <w:p>
            <w:pPr>
              <w:pStyle w:val="Compact"/>
              <w:jc w:val="left"/>
            </w:pPr>
            <w:r>
              <w:rPr>
                <w:b/>
                <w:bCs/>
              </w:rPr>
              <w:t xml:space="preserve">3.332</w:t>
            </w:r>
          </w:p>
        </w:tc>
        <w:tc>
          <w:tcPr/>
          <w:p>
            <w:pPr>
              <w:pStyle w:val="Compact"/>
              <w:jc w:val="left"/>
            </w:pPr>
            <w:r>
              <w:t xml:space="preserve">1</w:t>
            </w:r>
          </w:p>
        </w:tc>
        <w:tc>
          <w:tcPr/>
          <w:p>
            <w:pPr>
              <w:pStyle w:val="Compact"/>
              <w:jc w:val="left"/>
            </w:pPr>
            <w:r>
              <w:t xml:space="preserve">1</w:t>
            </w:r>
          </w:p>
        </w:tc>
        <w:tc>
          <w:tcPr/>
          <w:p>
            <w:pPr>
              <w:pStyle w:val="Compact"/>
              <w:jc w:val="left"/>
            </w:pPr>
            <w:r>
              <w:t xml:space="preserve">Enzimas secretadas para destruir defensas vegetales (PR-proteins).</w:t>
            </w:r>
          </w:p>
        </w:tc>
      </w:tr>
      <w:tr>
        <w:tc>
          <w:tcPr/>
          <w:p>
            <w:pPr>
              <w:pStyle w:val="Compact"/>
              <w:jc w:val="left"/>
            </w:pPr>
            <w:r>
              <w:rPr>
                <w:b/>
                <w:bCs/>
              </w:rPr>
              <w:t xml:space="preserve">Deshidrogenasas NADH</w:t>
            </w:r>
          </w:p>
        </w:tc>
        <w:tc>
          <w:tcPr/>
          <w:p>
            <w:pPr>
              <w:pStyle w:val="Compact"/>
              <w:jc w:val="left"/>
            </w:pPr>
            <w:r>
              <w:rPr>
                <w:b/>
                <w:bCs/>
              </w:rPr>
              <w:t xml:space="preserve">3.089</w:t>
            </w:r>
          </w:p>
        </w:tc>
        <w:tc>
          <w:tcPr/>
          <w:p>
            <w:pPr>
              <w:pStyle w:val="Compact"/>
              <w:jc w:val="left"/>
            </w:pPr>
            <w:r>
              <w:t xml:space="preserve">7</w:t>
            </w:r>
          </w:p>
        </w:tc>
        <w:tc>
          <w:tcPr/>
          <w:p>
            <w:pPr>
              <w:pStyle w:val="Compact"/>
              <w:jc w:val="left"/>
            </w:pPr>
            <w:r>
              <w:t xml:space="preserve">5</w:t>
            </w:r>
          </w:p>
        </w:tc>
        <w:tc>
          <w:tcPr/>
          <w:p>
            <w:pPr>
              <w:pStyle w:val="Compact"/>
              <w:jc w:val="left"/>
            </w:pPr>
            <w:r>
              <w:t xml:space="preserve">Adaptación extrema al estrés oxidativo dentro del estoma.</w:t>
            </w:r>
          </w:p>
        </w:tc>
      </w:tr>
      <w:tr>
        <w:tc>
          <w:tcPr/>
          <w:p>
            <w:pPr>
              <w:pStyle w:val="Compact"/>
              <w:jc w:val="left"/>
            </w:pPr>
            <w:r>
              <w:rPr>
                <w:b/>
                <w:bCs/>
              </w:rPr>
              <w:t xml:space="preserve">Quinasas de Membrana</w:t>
            </w:r>
          </w:p>
        </w:tc>
        <w:tc>
          <w:tcPr/>
          <w:p>
            <w:pPr>
              <w:pStyle w:val="Compact"/>
              <w:jc w:val="left"/>
            </w:pPr>
            <w:r>
              <w:rPr>
                <w:b/>
                <w:bCs/>
              </w:rPr>
              <w:t xml:space="preserve">&gt; 1.500</w:t>
            </w:r>
          </w:p>
        </w:tc>
        <w:tc>
          <w:tcPr/>
          <w:p>
            <w:pPr>
              <w:pStyle w:val="Compact"/>
              <w:jc w:val="left"/>
            </w:pPr>
            <w:r>
              <w:t xml:space="preserve">976</w:t>
            </w:r>
          </w:p>
        </w:tc>
        <w:tc>
          <w:tcPr/>
          <w:p>
            <w:pPr>
              <w:pStyle w:val="Compact"/>
              <w:jc w:val="left"/>
            </w:pPr>
            <w:r>
              <w:t xml:space="preserve">282</w:t>
            </w:r>
          </w:p>
        </w:tc>
        <w:tc>
          <w:tcPr/>
          <w:p>
            <w:pPr>
              <w:pStyle w:val="Compact"/>
              <w:jc w:val="left"/>
            </w:pPr>
            <w:r>
              <w:t xml:space="preserve">Receptores sensoriales. Mutan para evadir el reconocimiento de la planta.</w:t>
            </w:r>
          </w:p>
        </w:tc>
      </w:tr>
    </w:tbl>
    <w:p>
      <w:pPr>
        <w:pStyle w:val="BodyText"/>
      </w:pPr>
      <w:r>
        <w:rPr>
          <w:b/>
          <w:bCs/>
        </w:rPr>
        <w:t xml:space="preserve">Tabla 3.3b: Familias Génicas Bajo Selección Purificadora Estricta (Alta Conservación)</w:t>
      </w:r>
      <w:r>
        <w:t xml:space="preserve"> </w:t>
      </w:r>
      <w:r>
        <w:t xml:space="preserve">En contraste diametral, las siguientes familias poseen un Ka/Ks cercano a cero. La evolución penaliza cualquier mutación en estos genes porque codifican la maquinaria central de la vida del hongo.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Familia de Genes (Top Conservados)</w:t>
            </w:r>
          </w:p>
        </w:tc>
        <w:tc>
          <w:tcPr/>
          <w:p>
            <w:pPr>
              <w:pStyle w:val="Compact"/>
              <w:jc w:val="left"/>
            </w:pPr>
            <w:r>
              <w:t xml:space="preserve">Relación Ka/Ks (Promedio)</w:t>
            </w:r>
          </w:p>
        </w:tc>
        <w:tc>
          <w:tcPr/>
          <w:p>
            <w:pPr>
              <w:pStyle w:val="Compact"/>
              <w:jc w:val="left"/>
            </w:pPr>
            <w:r>
              <w:t xml:space="preserve">Copias (Café)</w:t>
            </w:r>
          </w:p>
        </w:tc>
        <w:tc>
          <w:tcPr/>
          <w:p>
            <w:pPr>
              <w:pStyle w:val="Compact"/>
              <w:jc w:val="left"/>
            </w:pPr>
            <w:r>
              <w:t xml:space="preserve">Copias (Naranja)</w:t>
            </w:r>
          </w:p>
        </w:tc>
        <w:tc>
          <w:tcPr/>
          <w:p>
            <w:pPr>
              <w:pStyle w:val="Compact"/>
              <w:jc w:val="left"/>
            </w:pPr>
            <w:r>
              <w:t xml:space="preserve">Función Biológica Basal</w:t>
            </w:r>
          </w:p>
        </w:tc>
      </w:tr>
      <w:tr>
        <w:tc>
          <w:tcPr/>
          <w:p>
            <w:pPr>
              <w:pStyle w:val="Compact"/>
              <w:jc w:val="left"/>
            </w:pPr>
            <w:r>
              <w:rPr>
                <w:b/>
                <w:bCs/>
              </w:rPr>
              <w:t xml:space="preserve">Citoesqueleto (Mano EF)</w:t>
            </w:r>
          </w:p>
        </w:tc>
        <w:tc>
          <w:tcPr/>
          <w:p>
            <w:pPr>
              <w:pStyle w:val="Compact"/>
              <w:jc w:val="left"/>
            </w:pPr>
            <w:r>
              <w:rPr>
                <w:b/>
                <w:bCs/>
              </w:rPr>
              <w:t xml:space="preserve">0.003</w:t>
            </w:r>
          </w:p>
        </w:tc>
        <w:tc>
          <w:tcPr/>
          <w:p>
            <w:pPr>
              <w:pStyle w:val="Compact"/>
              <w:jc w:val="left"/>
            </w:pPr>
            <w:r>
              <w:t xml:space="preserve">16</w:t>
            </w:r>
          </w:p>
        </w:tc>
        <w:tc>
          <w:tcPr/>
          <w:p>
            <w:pPr>
              <w:pStyle w:val="Compact"/>
              <w:jc w:val="left"/>
            </w:pPr>
            <w:r>
              <w:t xml:space="preserve">15</w:t>
            </w:r>
          </w:p>
        </w:tc>
        <w:tc>
          <w:tcPr/>
          <w:p>
            <w:pPr>
              <w:pStyle w:val="Compact"/>
              <w:jc w:val="left"/>
            </w:pPr>
            <w:r>
              <w:t xml:space="preserve">Estructura celular crítica y crecimiento de las hifas.</w:t>
            </w:r>
          </w:p>
        </w:tc>
      </w:tr>
      <w:tr>
        <w:tc>
          <w:tcPr/>
          <w:p>
            <w:pPr>
              <w:pStyle w:val="Compact"/>
              <w:jc w:val="left"/>
            </w:pPr>
            <w:r>
              <w:rPr>
                <w:b/>
                <w:bCs/>
              </w:rPr>
              <w:t xml:space="preserve">Proteínas Ribosomales L11/L12</w:t>
            </w:r>
          </w:p>
        </w:tc>
        <w:tc>
          <w:tcPr/>
          <w:p>
            <w:pPr>
              <w:pStyle w:val="Compact"/>
              <w:jc w:val="left"/>
            </w:pPr>
            <w:r>
              <w:rPr>
                <w:b/>
                <w:bCs/>
              </w:rPr>
              <w:t xml:space="preserve">0.009</w:t>
            </w:r>
          </w:p>
        </w:tc>
        <w:tc>
          <w:tcPr/>
          <w:p>
            <w:pPr>
              <w:pStyle w:val="Compact"/>
              <w:jc w:val="left"/>
            </w:pPr>
            <w:r>
              <w:t xml:space="preserve">4</w:t>
            </w:r>
          </w:p>
        </w:tc>
        <w:tc>
          <w:tcPr/>
          <w:p>
            <w:pPr>
              <w:pStyle w:val="Compact"/>
              <w:jc w:val="left"/>
            </w:pPr>
            <w:r>
              <w:t xml:space="preserve">2</w:t>
            </w:r>
          </w:p>
        </w:tc>
        <w:tc>
          <w:tcPr/>
          <w:p>
            <w:pPr>
              <w:pStyle w:val="Compact"/>
              <w:jc w:val="left"/>
            </w:pPr>
            <w:r>
              <w:t xml:space="preserve">Maquinaria central de síntesis de proteínas.</w:t>
            </w:r>
          </w:p>
        </w:tc>
      </w:tr>
      <w:tr>
        <w:tc>
          <w:tcPr/>
          <w:p>
            <w:pPr>
              <w:pStyle w:val="Compact"/>
              <w:jc w:val="left"/>
            </w:pPr>
            <w:r>
              <w:rPr>
                <w:b/>
                <w:bCs/>
              </w:rPr>
              <w:t xml:space="preserve">Helicasas de Unión de Holliday</w:t>
            </w:r>
          </w:p>
        </w:tc>
        <w:tc>
          <w:tcPr/>
          <w:p>
            <w:pPr>
              <w:pStyle w:val="Compact"/>
              <w:jc w:val="left"/>
            </w:pPr>
            <w:r>
              <w:rPr>
                <w:b/>
                <w:bCs/>
              </w:rPr>
              <w:t xml:space="preserve">0.010</w:t>
            </w:r>
          </w:p>
        </w:tc>
        <w:tc>
          <w:tcPr/>
          <w:p>
            <w:pPr>
              <w:pStyle w:val="Compact"/>
              <w:jc w:val="left"/>
            </w:pPr>
            <w:r>
              <w:t xml:space="preserve">4</w:t>
            </w:r>
          </w:p>
        </w:tc>
        <w:tc>
          <w:tcPr/>
          <w:p>
            <w:pPr>
              <w:pStyle w:val="Compact"/>
              <w:jc w:val="left"/>
            </w:pPr>
            <w:r>
              <w:t xml:space="preserve">5</w:t>
            </w:r>
          </w:p>
        </w:tc>
        <w:tc>
          <w:tcPr/>
          <w:p>
            <w:pPr>
              <w:pStyle w:val="Compact"/>
              <w:jc w:val="left"/>
            </w:pPr>
            <w:r>
              <w:t xml:space="preserve">Reparación estricta y mantenimiento de la integridad del ADN.</w:t>
            </w:r>
          </w:p>
        </w:tc>
      </w:tr>
    </w:tbl>
    <w:p>
      <w:pPr>
        <w:pStyle w:val="BodyText"/>
      </w:pPr>
      <w:r>
        <w:t xml:space="preserve">Esta inmensa tasa de mutación en familias secretadas y transportadores corrobora que la evolución de estas royas no está enfocada en mejorar su metabolismo interno, sino exclusivamente en optimizar su capacidad para penetrar y parasitar a la caña de azúcar.</w:t>
      </w:r>
    </w:p>
    <w:bookmarkEnd w:id="35"/>
    <w:bookmarkStart w:id="39" w:name="Xf099412fe4e2f869311fe57a4854d56e148753f"/>
    <w:p>
      <w:pPr>
        <w:pStyle w:val="Heading4"/>
      </w:pPr>
      <w:r>
        <w:t xml:space="preserve">3.2.8 Reloj Molecular y Divergencia Evolutiva (Tiempo de Especiación)</w:t>
      </w:r>
    </w:p>
    <w:p>
      <w:pPr>
        <w:pStyle w:val="FirstParagraph"/>
      </w:pPr>
      <w:r>
        <w:t xml:space="preserve">Para dimensionar temporalmente cuándo ocurrió la separación entre estas dos especies hermanas, se empleó la tasa de mutaciones sinónimas (Ks) como un reloj molecular. Dado que las mutaciones sinónimas no alteran la proteína, se asume que se acumulan a un ritmo neutral y constante a lo largo de los milenios.</w:t>
      </w:r>
    </w:p>
    <w:p>
      <w:pPr>
        <w:pStyle w:val="CaptionedFigure"/>
      </w:pPr>
      <w:r>
        <w:drawing>
          <wp:inline>
            <wp:extent cx="5334000" cy="3200399"/>
            <wp:effectExtent b="0" l="0" r="0" t="0"/>
            <wp:docPr descr="Cronograma Filogenético Clásico" title="" id="37" name="Picture"/>
            <a:graphic>
              <a:graphicData uri="http://schemas.openxmlformats.org/drawingml/2006/picture">
                <pic:pic>
                  <pic:nvPicPr>
                    <pic:cNvPr descr="file:///Users/estuvar4/.gemini/antigravity/brain/8248c59f-297d-47dd-aa15-844de167695d/filogenia_clasica.png" id="38" name="Picture"/>
                    <pic:cNvPicPr>
                      <a:picLocks noChangeArrowheads="1" noChangeAspect="1"/>
                    </pic:cNvPicPr>
                  </pic:nvPicPr>
                  <pic:blipFill>
                    <a:blip r:embed="rId3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Cronograma Filogenético Clásico</w:t>
      </w:r>
    </w:p>
    <w:p>
      <w:pPr>
        <w:pStyle w:val="BodyText"/>
      </w:pPr>
      <w:r>
        <w:t xml:space="preserve">Utilizando el valor promedio global del genoma (</w:t>
      </w:r>
      <w:r>
        <w:rPr>
          <w:b/>
          <w:bCs/>
        </w:rPr>
        <w:t xml:space="preserve">Ks = 0.6491</w:t>
      </w:r>
      <w:r>
        <w:t xml:space="preserve">) y asumiendo una tasa de mutación estándar para hongos basidiomicetos patógenos de plantas (</w:t>
      </w:r>
      <m:oMath>
        <m:r>
          <m:t>r</m:t>
        </m:r>
        <m:r>
          <m:rPr>
            <m:sty m:val="p"/>
          </m:rPr>
          <m:t>=</m:t>
        </m:r>
        <m:r>
          <m:t>1.5</m:t>
        </m:r>
        <m:r>
          <m:rPr>
            <m:sty m:val="p"/>
          </m:rPr>
          <m:t>×</m:t>
        </m:r>
        <m:sSup>
          <m:e>
            <m:r>
              <m:t>10</m:t>
            </m:r>
          </m:e>
          <m:sup>
            <m:r>
              <m:rPr>
                <m:sty m:val="p"/>
              </m:rPr>
              <m:t>−</m:t>
            </m:r>
            <m:r>
              <m:t>8</m:t>
            </m:r>
          </m:sup>
        </m:sSup>
      </m:oMath>
      <w:r>
        <w:t xml:space="preserve"> </w:t>
      </w:r>
      <w:r>
        <w:t xml:space="preserve">mutaciones por sitio por año), se estimó la fórmula de divergencia (</w:t>
      </w:r>
      <m:oMath>
        <m:r>
          <m:t>T</m:t>
        </m:r>
        <m:r>
          <m:rPr>
            <m:sty m:val="p"/>
          </m:rPr>
          <m:t>=</m:t>
        </m:r>
        <m:r>
          <m:t>K</m:t>
        </m:r>
        <m:r>
          <m:t>s</m:t>
        </m:r>
        <m:r>
          <m:rPr>
            <m:sty m:val="p"/>
          </m:rPr>
          <m:t>/</m:t>
        </m:r>
        <m:r>
          <m:t>2</m:t>
        </m:r>
        <m:r>
          <m:t>r</m:t>
        </m:r>
      </m:oMath>
      <w:r>
        <w:t xml:space="preserve">). Los resultados indican que</w:t>
      </w:r>
      <w:r>
        <w:t xml:space="preserve"> </w:t>
      </w:r>
      <w:r>
        <w:rPr>
          <w:i/>
          <w:iCs/>
        </w:rPr>
        <w:t xml:space="preserve">P. melanocephala</w:t>
      </w:r>
      <w:r>
        <w:t xml:space="preserve"> </w:t>
      </w:r>
      <w:r>
        <w:t xml:space="preserve">y</w:t>
      </w:r>
      <w:r>
        <w:t xml:space="preserve"> </w:t>
      </w:r>
      <w:r>
        <w:rPr>
          <w:i/>
          <w:iCs/>
        </w:rPr>
        <w:t xml:space="preserve">P. kuehnii</w:t>
      </w:r>
      <w:r>
        <w:t xml:space="preserve"> </w:t>
      </w:r>
      <w:r>
        <w:t xml:space="preserve">divergieron a partir de un ancestro común hace aproximadamente</w:t>
      </w:r>
      <w:r>
        <w:t xml:space="preserve"> </w:t>
      </w:r>
      <w:r>
        <w:rPr>
          <w:b/>
          <w:bCs/>
        </w:rPr>
        <w:t xml:space="preserve">21.6 a 32 millones de años</w:t>
      </w:r>
      <w:r>
        <w:t xml:space="preserve">, durante la época del</w:t>
      </w:r>
      <w:r>
        <w:t xml:space="preserve"> </w:t>
      </w:r>
      <w:r>
        <w:rPr>
          <w:b/>
          <w:bCs/>
        </w:rPr>
        <w:t xml:space="preserve">Mioceno</w:t>
      </w:r>
      <w:r>
        <w:t xml:space="preserve">.</w:t>
      </w:r>
    </w:p>
    <w:p>
      <w:pPr>
        <w:pStyle w:val="BodyText"/>
      </w:pPr>
      <w:r>
        <w:rPr>
          <w:b/>
          <w:bCs/>
        </w:rPr>
        <w:t xml:space="preserve">Contexto Ecológico y la</w:t>
      </w:r>
      <w:r>
        <w:rPr>
          <w:b/>
          <w:bCs/>
        </w:rPr>
        <w:t xml:space="preserve"> </w:t>
      </w:r>
      <w:r>
        <w:rPr>
          <w:b/>
          <w:bCs/>
        </w:rPr>
        <w:t xml:space="preserve">“Explosión Genómica”</w:t>
      </w:r>
      <w:r>
        <w:t xml:space="preserve"> </w:t>
      </w:r>
      <w:r>
        <w:t xml:space="preserve">Este periodo de divergencia encaja perfectamente con los registros paleobotánicos: durante el Mioceno, el clima terrestre se volvió más frío y seco, impulsando la expansión masiva global de pastizales C4 (la familia Poaceae, tribu Andropogoneae, ancestros de la caña de azúcar</w:t>
      </w:r>
      <w:r>
        <w:t xml:space="preserve"> </w:t>
      </w:r>
      <w:r>
        <w:rPr>
          <w:i/>
          <w:iCs/>
        </w:rPr>
        <w:t xml:space="preserve">Saccharum</w:t>
      </w:r>
      <w:r>
        <w:t xml:space="preserve">). Frente a este nuevo continente ecológico, las royas ancestrales tomaron dos caminos evolutivos diametralmente opuestos:</w:t>
      </w:r>
    </w:p>
    <w:p>
      <w:pPr>
        <w:pStyle w:val="Compact"/>
        <w:numPr>
          <w:ilvl w:val="0"/>
          <w:numId w:val="1002"/>
        </w:numPr>
      </w:pPr>
      <w:r>
        <w:rPr>
          <w:b/>
          <w:bCs/>
        </w:rPr>
        <w:t xml:space="preserve">La ruta conservadora (</w:t>
      </w:r>
      <w:r>
        <w:rPr>
          <w:b/>
          <w:bCs/>
          <w:i/>
          <w:iCs/>
        </w:rPr>
        <w:t xml:space="preserve">P. kuehnii</w:t>
      </w:r>
      <w:r>
        <w:rPr>
          <w:b/>
          <w:bCs/>
        </w:rPr>
        <w:t xml:space="preserve">):</w:t>
      </w:r>
      <w:r>
        <w:t xml:space="preserve"> </w:t>
      </w:r>
      <w:r>
        <w:t xml:space="preserve">Se habría aislado geográficamente en el centro de origen de la caña (Sudeste Asiático/Oceanía), logrando un equilibrio ecológico con su hospedero silvestre. Por ello, retuvo un genoma compacto y estable (16,400 genes).</w:t>
      </w:r>
    </w:p>
    <w:p>
      <w:pPr>
        <w:pStyle w:val="Compact"/>
        <w:numPr>
          <w:ilvl w:val="0"/>
          <w:numId w:val="1002"/>
        </w:numPr>
      </w:pPr>
      <w:r>
        <w:rPr>
          <w:b/>
          <w:bCs/>
        </w:rPr>
        <w:t xml:space="preserve">El estrés ambiental y la ruta agresiva (</w:t>
      </w:r>
      <w:r>
        <w:rPr>
          <w:b/>
          <w:bCs/>
          <w:i/>
          <w:iCs/>
        </w:rPr>
        <w:t xml:space="preserve">P. melanocephala</w:t>
      </w:r>
      <w:r>
        <w:rPr>
          <w:b/>
          <w:bCs/>
        </w:rPr>
        <w:t xml:space="preserve">):</w:t>
      </w:r>
      <w:r>
        <w:t xml:space="preserve"> </w:t>
      </w:r>
      <w:r>
        <w:t xml:space="preserve">El ancestro de la Roya Café enfrentó condiciones ambientales extremas o intentó saltar a un pasto hospedero distinto. En biología evolutiva, el estrés extremo colapsa los mecanismos de silenciamiento celular, lo que</w:t>
      </w:r>
      <w:r>
        <w:t xml:space="preserve"> </w:t>
      </w:r>
      <w:r>
        <w:rPr>
          <w:b/>
          <w:bCs/>
        </w:rPr>
        <w:t xml:space="preserve">despertó masivamente a sus Elementos Transponibles (TEs)</w:t>
      </w:r>
      <w:r>
        <w:t xml:space="preserve">. Los TEs se replicaron de forma incontrolable, causando la inflamación genómica a más de 34,000 genes y el barajado de sus cromosomas. Este evento crítico le otorgó a</w:t>
      </w:r>
      <w:r>
        <w:t xml:space="preserve"> </w:t>
      </w:r>
      <w:r>
        <w:rPr>
          <w:i/>
          <w:iCs/>
        </w:rPr>
        <w:t xml:space="preserve">P. melanocephala</w:t>
      </w:r>
      <w:r>
        <w:t xml:space="preserve"> </w:t>
      </w:r>
      <w:r>
        <w:t xml:space="preserve">un banco de genes mutantes masivo, convirtiéndolo millones de años después en una máquina biológica de alta plasticidad, lista para causar epidemias mundiales en los monocultivos modernos de caña.</w:t>
      </w:r>
    </w:p>
    <w:bookmarkEnd w:id="39"/>
    <w:bookmarkStart w:id="40" w:name="X638fb026baaecf2cc4da484f8157f4d0d6bac2a"/>
    <w:p>
      <w:pPr>
        <w:pStyle w:val="Heading4"/>
      </w:pPr>
      <w:r>
        <w:t xml:space="preserve">3.2.9 Síntesis del Arsenal Patogénico (Catálogo Integral)</w:t>
      </w:r>
    </w:p>
    <w:p>
      <w:pPr>
        <w:pStyle w:val="FirstParagraph"/>
      </w:pPr>
      <w:r>
        <w:t xml:space="preserve">El análisis cruzado de las tres metodologías biocomputacionales implementadas en los resultados (Anotación Funcional, Sintenia/Expansión Genómica y Presión Evolutiva Ka/Ks) permite consolidar un catálogo definitivo de las familias génicas que orquestan la infección.</w:t>
      </w:r>
    </w:p>
    <w:p>
      <w:pPr>
        <w:pStyle w:val="BodyText"/>
      </w:pPr>
      <w:r>
        <w:t xml:space="preserve">La siguiente tabla maestra correlaciona la identidad funcional de los genes con su dinámica de expansión (clonación física) y su tasa de mutación adaptativa, ofreciendo una radiografía molecular exacta de las herramientas patogénicas de ambas royas:</w:t>
      </w:r>
    </w:p>
    <w:p>
      <w:pPr>
        <w:pStyle w:val="BodyText"/>
      </w:pPr>
      <w:r>
        <w:rPr>
          <w:b/>
          <w:bCs/>
        </w:rPr>
        <w:t xml:space="preserve">Tabla 3.4: Catálogo Integral de Familias Génicas Clave en la Patogénesis</w:t>
      </w:r>
      <w:r>
        <w:t xml:space="preserve"> </w:t>
      </w:r>
      <w:r>
        <w:t xml:space="preserve">| Familia de Genes (Anotación Funcional) | Copias (Roya Café) | Copias (Roya Naranja) | Presión Evolutiva (Tasa Ka/Ks) | Rol Biológico en la Patogénesis de la Caña |</w:t>
      </w:r>
      <w:r>
        <w:t xml:space="preserve"> </w:t>
      </w:r>
      <w:r>
        <w:t xml:space="preserve">| :— | :— | :— | :— | :— |</w:t>
      </w:r>
      <w:r>
        <w:t xml:space="preserve"> </w:t>
      </w:r>
      <w:r>
        <w:t xml:space="preserve">|</w:t>
      </w:r>
      <w:r>
        <w:t xml:space="preserve"> </w:t>
      </w:r>
      <w:r>
        <w:rPr>
          <w:b/>
          <w:bCs/>
        </w:rPr>
        <w:t xml:space="preserve">Genes Rho (GTPasas)</w:t>
      </w:r>
      <w:r>
        <w:t xml:space="preserve"> </w:t>
      </w:r>
      <w:r>
        <w:t xml:space="preserve">|</w:t>
      </w:r>
      <w:r>
        <w:t xml:space="preserve"> </w:t>
      </w:r>
      <w:r>
        <w:rPr>
          <w:i/>
          <w:iCs/>
        </w:rPr>
        <w:t xml:space="preserve">Core Compartido</w:t>
      </w:r>
      <w:r>
        <w:t xml:space="preserve"> </w:t>
      </w:r>
      <w:r>
        <w:t xml:space="preserve">|</w:t>
      </w:r>
      <w:r>
        <w:t xml:space="preserve"> </w:t>
      </w:r>
      <w:r>
        <w:rPr>
          <w:i/>
          <w:iCs/>
        </w:rPr>
        <w:t xml:space="preserve">Core Compartido</w:t>
      </w:r>
      <w:r>
        <w:t xml:space="preserve"> </w:t>
      </w:r>
      <w:r>
        <w:t xml:space="preserve">|</w:t>
      </w:r>
      <w:r>
        <w:t xml:space="preserve"> </w:t>
      </w:r>
      <w:r>
        <w:rPr>
          <w:b/>
          <w:bCs/>
        </w:rPr>
        <w:t xml:space="preserve">Alta Conservación</w:t>
      </w:r>
      <w:r>
        <w:t xml:space="preserve"> </w:t>
      </w:r>
      <w:r>
        <w:t xml:space="preserve">|</w:t>
      </w:r>
      <w:r>
        <w:t xml:space="preserve"> </w:t>
      </w:r>
      <w:r>
        <w:rPr>
          <w:b/>
          <w:bCs/>
        </w:rPr>
        <w:t xml:space="preserve">Evasión Inmunológica:</w:t>
      </w:r>
      <w:r>
        <w:t xml:space="preserve"> </w:t>
      </w:r>
      <w:r>
        <w:t xml:space="preserve">Manipulan el citoesqueleto vegetal para inhibir el cierre defensivo de los estomas. |</w:t>
      </w:r>
      <w:r>
        <w:t xml:space="preserve"> </w:t>
      </w:r>
      <w:r>
        <w:t xml:space="preserve">|</w:t>
      </w:r>
      <w:r>
        <w:t xml:space="preserve"> </w:t>
      </w:r>
      <w:r>
        <w:rPr>
          <w:b/>
          <w:bCs/>
        </w:rPr>
        <w:t xml:space="preserve">Quinasas (Tirosina/Serina)</w:t>
      </w:r>
      <w:r>
        <w:t xml:space="preserve"> </w:t>
      </w:r>
      <w:r>
        <w:t xml:space="preserve">|</w:t>
      </w:r>
      <w:r>
        <w:t xml:space="preserve"> </w:t>
      </w:r>
      <w:r>
        <w:rPr>
          <w:b/>
          <w:bCs/>
        </w:rPr>
        <w:t xml:space="preserve">976</w:t>
      </w:r>
      <w:r>
        <w:t xml:space="preserve"> </w:t>
      </w:r>
      <w:r>
        <w:t xml:space="preserve">| 282 |</w:t>
      </w:r>
      <w:r>
        <w:t xml:space="preserve"> </w:t>
      </w:r>
      <w:r>
        <w:rPr>
          <w:b/>
          <w:bCs/>
        </w:rPr>
        <w:t xml:space="preserve">Hiper-mutante</w:t>
      </w:r>
      <w:r>
        <w:t xml:space="preserve"> </w:t>
      </w:r>
      <w:r>
        <w:t xml:space="preserve">(&gt; 1.5) |</w:t>
      </w:r>
      <w:r>
        <w:t xml:space="preserve"> </w:t>
      </w:r>
      <w:r>
        <w:rPr>
          <w:b/>
          <w:bCs/>
        </w:rPr>
        <w:t xml:space="preserve">Sensores y Señalización:</w:t>
      </w:r>
      <w:r>
        <w:t xml:space="preserve"> </w:t>
      </w:r>
      <w:r>
        <w:t xml:space="preserve">Red masivamente expandida para reconocer la hoja y mutar velozmente para burlar receptores. |</w:t>
      </w:r>
      <w:r>
        <w:t xml:space="preserve"> </w:t>
      </w:r>
      <w:r>
        <w:t xml:space="preserve">|</w:t>
      </w:r>
      <w:r>
        <w:t xml:space="preserve"> </w:t>
      </w:r>
      <w:r>
        <w:rPr>
          <w:b/>
          <w:bCs/>
        </w:rPr>
        <w:t xml:space="preserve">Transportadores OPT</w:t>
      </w:r>
      <w:r>
        <w:t xml:space="preserve"> </w:t>
      </w:r>
      <w:r>
        <w:t xml:space="preserve">| 22 | 26 |</w:t>
      </w:r>
      <w:r>
        <w:t xml:space="preserve"> </w:t>
      </w:r>
      <w:r>
        <w:rPr>
          <w:b/>
          <w:bCs/>
        </w:rPr>
        <w:t xml:space="preserve">Hiper-mutante</w:t>
      </w:r>
      <w:r>
        <w:t xml:space="preserve"> </w:t>
      </w:r>
      <w:r>
        <w:t xml:space="preserve">(5.58) |</w:t>
      </w:r>
      <w:r>
        <w:t xml:space="preserve"> </w:t>
      </w:r>
      <w:r>
        <w:rPr>
          <w:b/>
          <w:bCs/>
        </w:rPr>
        <w:t xml:space="preserve">Bombeo Transmembrana:</w:t>
      </w:r>
      <w:r>
        <w:t xml:space="preserve"> </w:t>
      </w:r>
      <w:r>
        <w:t xml:space="preserve">Secuestran nutrientes vitales de la célula vegetal o secretan toxinas aceleradamente. |</w:t>
      </w:r>
      <w:r>
        <w:t xml:space="preserve"> </w:t>
      </w:r>
      <w:r>
        <w:t xml:space="preserve">|</w:t>
      </w:r>
      <w:r>
        <w:t xml:space="preserve"> </w:t>
      </w:r>
      <w:r>
        <w:rPr>
          <w:b/>
          <w:bCs/>
        </w:rPr>
        <w:t xml:space="preserve">Glicosiltransferasas (ALG)</w:t>
      </w:r>
      <w:r>
        <w:t xml:space="preserve"> </w:t>
      </w:r>
      <w:r>
        <w:t xml:space="preserve">| Conservado basal |</w:t>
      </w:r>
      <w:r>
        <w:t xml:space="preserve"> </w:t>
      </w:r>
      <w:r>
        <w:rPr>
          <w:b/>
          <w:bCs/>
        </w:rPr>
        <w:t xml:space="preserve">Expandido</w:t>
      </w:r>
      <w:r>
        <w:t xml:space="preserve"> </w:t>
      </w:r>
      <w:r>
        <w:t xml:space="preserve">|</w:t>
      </w:r>
      <w:r>
        <w:t xml:space="preserve"> </w:t>
      </w:r>
      <w:r>
        <w:rPr>
          <w:b/>
          <w:bCs/>
        </w:rPr>
        <w:t xml:space="preserve">Dinámica Mixta</w:t>
      </w:r>
      <w:r>
        <w:t xml:space="preserve"> </w:t>
      </w:r>
      <w:r>
        <w:t xml:space="preserve">|</w:t>
      </w:r>
      <w:r>
        <w:t xml:space="preserve"> </w:t>
      </w:r>
      <w:r>
        <w:rPr>
          <w:b/>
          <w:bCs/>
        </w:rPr>
        <w:t xml:space="preserve">Camuflaje Celular:</w:t>
      </w:r>
      <w:r>
        <w:t xml:space="preserve"> </w:t>
      </w:r>
      <w:r>
        <w:t xml:space="preserve">Construyen glicoproteínas extracelulares, enmascarando al hongo de la inmunidad basal de la caña. |</w:t>
      </w:r>
      <w:r>
        <w:t xml:space="preserve"> </w:t>
      </w:r>
      <w:r>
        <w:t xml:space="preserve">|</w:t>
      </w:r>
      <w:r>
        <w:t xml:space="preserve"> </w:t>
      </w:r>
      <w:r>
        <w:rPr>
          <w:b/>
          <w:bCs/>
        </w:rPr>
        <w:t xml:space="preserve">Helicasas (Unión Holliday)</w:t>
      </w:r>
      <w:r>
        <w:t xml:space="preserve"> </w:t>
      </w:r>
      <w:r>
        <w:t xml:space="preserve">|</w:t>
      </w:r>
      <w:r>
        <w:t xml:space="preserve"> </w:t>
      </w:r>
      <w:r>
        <w:rPr>
          <w:b/>
          <w:bCs/>
        </w:rPr>
        <w:t xml:space="preserve">Expandido</w:t>
      </w:r>
      <w:r>
        <w:t xml:space="preserve"> </w:t>
      </w:r>
      <w:r>
        <w:t xml:space="preserve">| Conservado basal |</w:t>
      </w:r>
      <w:r>
        <w:t xml:space="preserve"> </w:t>
      </w:r>
      <w:r>
        <w:rPr>
          <w:b/>
          <w:bCs/>
        </w:rPr>
        <w:t xml:space="preserve">Ultra-Conservado</w:t>
      </w:r>
      <w:r>
        <w:t xml:space="preserve"> </w:t>
      </w:r>
      <w:r>
        <w:t xml:space="preserve">(0.01) |</w:t>
      </w:r>
      <w:r>
        <w:t xml:space="preserve"> </w:t>
      </w:r>
      <w:r>
        <w:rPr>
          <w:b/>
          <w:bCs/>
        </w:rPr>
        <w:t xml:space="preserve">Supervivencia Genómica:</w:t>
      </w:r>
      <w:r>
        <w:t xml:space="preserve"> </w:t>
      </w:r>
      <w:r>
        <w:t xml:space="preserve">Reparan las rupturas de ADN causadas por el caos de sus propios Elementos Transponibles. |</w:t>
      </w:r>
      <w:r>
        <w:t xml:space="preserve"> </w:t>
      </w:r>
      <w:r>
        <w:t xml:space="preserve">|</w:t>
      </w:r>
      <w:r>
        <w:t xml:space="preserve"> </w:t>
      </w:r>
      <w:r>
        <w:rPr>
          <w:b/>
          <w:bCs/>
        </w:rPr>
        <w:t xml:space="preserve">Peptidasas M16 (Insulinase)</w:t>
      </w:r>
      <w:r>
        <w:t xml:space="preserve"> </w:t>
      </w:r>
      <w:r>
        <w:t xml:space="preserve">| 1 | 1 |</w:t>
      </w:r>
      <w:r>
        <w:t xml:space="preserve"> </w:t>
      </w:r>
      <w:r>
        <w:rPr>
          <w:b/>
          <w:bCs/>
        </w:rPr>
        <w:t xml:space="preserve">Hiper-mutante</w:t>
      </w:r>
      <w:r>
        <w:t xml:space="preserve"> </w:t>
      </w:r>
      <w:r>
        <w:t xml:space="preserve">(3.33) |</w:t>
      </w:r>
      <w:r>
        <w:t xml:space="preserve"> </w:t>
      </w:r>
      <w:r>
        <w:rPr>
          <w:b/>
          <w:bCs/>
        </w:rPr>
        <w:t xml:space="preserve">Degradación Enzimática:</w:t>
      </w:r>
      <w:r>
        <w:t xml:space="preserve"> </w:t>
      </w:r>
      <w:r>
        <w:t xml:space="preserve">Proyectiles altamente específicos y mutagénicos para destruir las proteínas de defensa de la planta. |</w:t>
      </w:r>
    </w:p>
    <w:bookmarkEnd w:id="40"/>
    <w:bookmarkEnd w:id="41"/>
    <w:bookmarkEnd w:id="42"/>
    <w:bookmarkStart w:id="47" w:name="Xa9e408f5f8e3cb9b1c5058195de163013268675"/>
    <w:p>
      <w:pPr>
        <w:pStyle w:val="Heading2"/>
      </w:pPr>
      <w:r>
        <w:t xml:space="preserve">4. Discusión: El Paradigma Biológico de las Royas de la Caña</w:t>
      </w:r>
    </w:p>
    <w:p>
      <w:pPr>
        <w:pStyle w:val="FirstParagraph"/>
      </w:pPr>
      <w:r>
        <w:t xml:space="preserve">La integración de los perfiles genómicos, filogenéticos y poblacionales generados en este estudio permite proponer un modelo biológico integral sobre cómo</w:t>
      </w:r>
      <w:r>
        <w:t xml:space="preserve"> </w:t>
      </w:r>
      <w:r>
        <w:rPr>
          <w:i/>
          <w:iCs/>
        </w:rPr>
        <w:t xml:space="preserve">Puccinia melanocephala</w:t>
      </w:r>
      <w:r>
        <w:t xml:space="preserve"> </w:t>
      </w:r>
      <w:r>
        <w:t xml:space="preserve">y</w:t>
      </w:r>
      <w:r>
        <w:t xml:space="preserve"> </w:t>
      </w:r>
      <w:r>
        <w:rPr>
          <w:i/>
          <w:iCs/>
        </w:rPr>
        <w:t xml:space="preserve">Puccinia kuehnii</w:t>
      </w:r>
      <w:r>
        <w:t xml:space="preserve"> </w:t>
      </w:r>
      <w:r>
        <w:t xml:space="preserve">se convirtieron en los patógenos más destructivos de</w:t>
      </w:r>
      <w:r>
        <w:t xml:space="preserve"> </w:t>
      </w:r>
      <w:r>
        <w:rPr>
          <w:i/>
          <w:iCs/>
        </w:rPr>
        <w:t xml:space="preserve">Saccharum</w:t>
      </w:r>
      <w:r>
        <w:t xml:space="preserve">. Lejos de una simple acumulación de mutaciones al azar, los datos revelan una maquinaria evolutiva altamente sofisticada.</w:t>
      </w:r>
    </w:p>
    <w:bookmarkStart w:id="43" w:name="X62257c16527f0e4a857a320d49fd803a1f85b3b"/>
    <w:p>
      <w:pPr>
        <w:pStyle w:val="Heading3"/>
      </w:pPr>
      <w:r>
        <w:t xml:space="preserve">A. Confirmación del Modelo del</w:t>
      </w:r>
      <w:r>
        <w:t xml:space="preserve"> </w:t>
      </w:r>
      <w:r>
        <w:t xml:space="preserve">“Genoma a Dos Velocidades”</w:t>
      </w:r>
    </w:p>
    <w:p>
      <w:pPr>
        <w:pStyle w:val="FirstParagraph"/>
      </w:pPr>
      <w:r>
        <w:t xml:space="preserve">La evidencia estructural descubierta en este estudio demuestra empíricamente la existencia de un genoma altamente compartimentalizado. Por un lado, el hallazgo de que el</w:t>
      </w:r>
      <w:r>
        <w:t xml:space="preserve"> </w:t>
      </w:r>
      <w:r>
        <w:rPr>
          <w:b/>
          <w:bCs/>
        </w:rPr>
        <w:t xml:space="preserve">91.4% del genoma de</w:t>
      </w:r>
      <w:r>
        <w:rPr>
          <w:b/>
          <w:bCs/>
        </w:rPr>
        <w:t xml:space="preserve"> </w:t>
      </w:r>
      <w:r>
        <w:rPr>
          <w:b/>
          <w:bCs/>
          <w:i/>
          <w:iCs/>
        </w:rPr>
        <w:t xml:space="preserve">P. melanocephala</w:t>
      </w:r>
      <w:r>
        <w:rPr>
          <w:b/>
          <w:bCs/>
        </w:rPr>
        <w:t xml:space="preserve"> </w:t>
      </w:r>
      <w:r>
        <w:rPr>
          <w:b/>
          <w:bCs/>
        </w:rPr>
        <w:t xml:space="preserve">es divergente (fracción plástica accesoria)</w:t>
      </w:r>
      <w:r>
        <w:t xml:space="preserve"> </w:t>
      </w:r>
      <w:r>
        <w:t xml:space="preserve">y que solo conserva un 7.9% de sintenia, explica su</w:t>
      </w:r>
      <w:r>
        <w:t xml:space="preserve"> </w:t>
      </w:r>
      <w:r>
        <w:t xml:space="preserve">“obesidad genómica”</w:t>
      </w:r>
      <w:r>
        <w:t xml:space="preserve"> </w:t>
      </w:r>
      <w:r>
        <w:t xml:space="preserve">(308 MB). Esta inmensa masa de ADN, presumiblemente impulsada por Elementos Transponibles (TEs), actúa como el motor de la variabilidad genética.</w:t>
      </w:r>
      <w:r>
        <w:t xml:space="preserve"> </w:t>
      </w:r>
      <w:r>
        <w:t xml:space="preserve">En contraste absoluto, el</w:t>
      </w:r>
      <w:r>
        <w:t xml:space="preserve"> </w:t>
      </w:r>
      <w:r>
        <w:rPr>
          <w:b/>
          <w:bCs/>
        </w:rPr>
        <w:t xml:space="preserve">8.6% del ADN que logró alinear (fracción núcleo)</w:t>
      </w:r>
      <w:r>
        <w:t xml:space="preserve"> </w:t>
      </w:r>
      <w:r>
        <w:t xml:space="preserve">resultó ser hiper-conservador. El descubrimiento de apenas 170 SNPs en estas regiones esenciales prueba que las royas de la caña protegen estrictamente su maquinaria biológica vital bajo una fuerte selección purificadora, delegando toda su agresividad evolutiva a los compartimientos accesorios (TEs).</w:t>
      </w:r>
    </w:p>
    <w:bookmarkEnd w:id="43"/>
    <w:bookmarkStart w:id="44" w:name="X75cf651366dea660dbe90dcbb3e02e24f0df0b5"/>
    <w:p>
      <w:pPr>
        <w:pStyle w:val="Heading3"/>
      </w:pPr>
      <w:r>
        <w:t xml:space="preserve">B. Efecto Fundador y Especialización Estricta de Hospedero</w:t>
      </w:r>
    </w:p>
    <w:p>
      <w:pPr>
        <w:pStyle w:val="FirstParagraph"/>
      </w:pPr>
      <w:r>
        <w:t xml:space="preserve">El Análisis de Componentes Principales (PCA) poblacional ilustra visualmente uno de los saltos evolutivos más críticos de este género. Mientras que las 42 cepas mundiales de roya del trigo forman un clúster genéticamente cohesivo,</w:t>
      </w:r>
      <w:r>
        <w:t xml:space="preserve"> </w:t>
      </w:r>
      <w:r>
        <w:rPr>
          <w:b/>
          <w:bCs/>
        </w:rPr>
        <w:t xml:space="preserve">la Roya Café emerge como una isla genética completamente aislada</w:t>
      </w:r>
      <w:r>
        <w:t xml:space="preserve">. Este patrón matemático es la firma clásica de un</w:t>
      </w:r>
      <w:r>
        <w:t xml:space="preserve"> </w:t>
      </w:r>
      <w:r>
        <w:rPr>
          <w:i/>
          <w:iCs/>
        </w:rPr>
        <w:t xml:space="preserve">Cuello de Botella Evolutivo</w:t>
      </w:r>
      <w:r>
        <w:t xml:space="preserve"> </w:t>
      </w:r>
      <w:r>
        <w:t xml:space="preserve">y un posterior</w:t>
      </w:r>
      <w:r>
        <w:t xml:space="preserve"> </w:t>
      </w:r>
      <w:r>
        <w:rPr>
          <w:i/>
          <w:iCs/>
        </w:rPr>
        <w:t xml:space="preserve">Efecto Fundador</w:t>
      </w:r>
      <w:r>
        <w:t xml:space="preserve">.</w:t>
      </w:r>
      <w:r>
        <w:t xml:space="preserve"> </w:t>
      </w:r>
      <w:r>
        <w:t xml:space="preserve">Al separarse hace 21-32 millones de años para colonizar los recién emergidos pastos C4 (caña de azúcar), los ancestros de la Roya Café y Naranja rompieron el flujo genético con las royas del trigo, forzando una especialización tan estricta que hoy en día sus arquitecturas genómicas son irreconocibles entre sí, a pesar de compartir el mismo ancestro.</w:t>
      </w:r>
    </w:p>
    <w:bookmarkEnd w:id="44"/>
    <w:bookmarkStart w:id="45" w:name="Xe5afc381a2d4d95a8f102e9462e7e03a5846174"/>
    <w:p>
      <w:pPr>
        <w:pStyle w:val="Heading3"/>
      </w:pPr>
      <w:r>
        <w:t xml:space="preserve">C. La</w:t>
      </w:r>
      <w:r>
        <w:t xml:space="preserve"> </w:t>
      </w:r>
      <w:r>
        <w:t xml:space="preserve">“Materia Oscura”</w:t>
      </w:r>
      <w:r>
        <w:t xml:space="preserve"> </w:t>
      </w:r>
      <w:r>
        <w:t xml:space="preserve">y la Hipótesis de la Reina Roja</w:t>
      </w:r>
    </w:p>
    <w:p>
      <w:pPr>
        <w:pStyle w:val="FirstParagraph"/>
      </w:pPr>
      <w:r>
        <w:t xml:space="preserve">El análisis de presión selectiva reveló tasas de Ka/Ks inusualmente altas (selección positiva) en familias proteicas directamente asociadas a la patogénesis, como las Quinasas, Peptidasas y Transportadores. Este comportamiento de hiper-mutación direccional es la confirmación genómica de la</w:t>
      </w:r>
      <w:r>
        <w:t xml:space="preserve"> </w:t>
      </w:r>
      <w:r>
        <w:rPr>
          <w:b/>
          <w:bCs/>
        </w:rPr>
        <w:t xml:space="preserve">Hipótesis de la Reina Roja (Carrera Armamentista Evolutiva)</w:t>
      </w:r>
      <w:r>
        <w:t xml:space="preserve">: el hongo se ve obligado a mutar constantemente sus efectores de ataque simplemente para</w:t>
      </w:r>
      <w:r>
        <w:t xml:space="preserve"> </w:t>
      </w:r>
      <w:r>
        <w:t xml:space="preserve">“mantenerse en el mismo lugar”</w:t>
      </w:r>
      <w:r>
        <w:t xml:space="preserve"> </w:t>
      </w:r>
      <w:r>
        <w:t xml:space="preserve">y no ser detectado por los receptores inmunitarios de las nuevas variedades de caña.</w:t>
      </w:r>
      <w:r>
        <w:t xml:space="preserve"> </w:t>
      </w:r>
      <w:r>
        <w:t xml:space="preserve">Crucialmente, más de la mitad del genoma recae en la categoría de</w:t>
      </w:r>
      <w:r>
        <w:t xml:space="preserve"> </w:t>
      </w:r>
      <w:r>
        <w:t xml:space="preserve">“Materia Oscura”</w:t>
      </w:r>
      <w:r>
        <w:t xml:space="preserve"> </w:t>
      </w:r>
      <w:r>
        <w:t xml:space="preserve">(genes sin homología funcional conocida en bases de datos mundiales). Esta falta de anotación no es un error de predicción, sino la prueba biológica de que los efectores especie-específicos están mutando a una velocidad tan extrema que han borrado cualquier rastro de homología con otras especies de hongos.</w:t>
      </w:r>
    </w:p>
    <w:bookmarkEnd w:id="45"/>
    <w:bookmarkStart w:id="46" w:name="d.-la-divergencia-ecológica-en-campo"/>
    <w:p>
      <w:pPr>
        <w:pStyle w:val="Heading3"/>
      </w:pPr>
      <w:r>
        <w:t xml:space="preserve">D. La Divergencia Ecológica en Campo</w:t>
      </w:r>
    </w:p>
    <w:p>
      <w:pPr>
        <w:pStyle w:val="FirstParagraph"/>
      </w:pPr>
      <w:r>
        <w:t xml:space="preserve">Finalmente, la estructura de duplicación génica explica el comportamiento epidémico en campo. La Roya Naranja (</w:t>
      </w:r>
      <w:r>
        <w:rPr>
          <w:i/>
          <w:iCs/>
        </w:rPr>
        <w:t xml:space="preserve">P. kuehnii</w:t>
      </w:r>
      <w:r>
        <w:t xml:space="preserve">), con un genoma genéticamente más compacto y estable, demuestra ser ecológicamente conservadora, manifestándose en brotes epidémicos intermitentes y localizados. En cambio,</w:t>
      </w:r>
      <w:r>
        <w:t xml:space="preserve"> </w:t>
      </w:r>
      <w:r>
        <w:rPr>
          <w:i/>
          <w:iCs/>
        </w:rPr>
        <w:t xml:space="preserve">P. melanocephala</w:t>
      </w:r>
      <w:r>
        <w:t xml:space="preserve"> </w:t>
      </w:r>
      <w:r>
        <w:t xml:space="preserve">utilizó su maquinaria de transposones no solo para desordenar su genoma, sino para</w:t>
      </w:r>
      <w:r>
        <w:t xml:space="preserve"> </w:t>
      </w:r>
      <w:r>
        <w:rPr>
          <w:b/>
          <w:bCs/>
        </w:rPr>
        <w:t xml:space="preserve">clonar masivamente su arsenal (hiper-duplicación de parálogos)</w:t>
      </w:r>
      <w:r>
        <w:t xml:space="preserve">. Al tener cientos de copias redundantes de sensores (Quinasas) y reparadores (Helicasas), la Roya Café puede permitirse experimentar genéticamente de forma acelerada, lo que explica por qué ha sido históricamente el patógeno capaz de quebrar más rápido la resistencia de las variedades comerciales a nivel mundial.</w:t>
      </w:r>
    </w:p>
    <w:bookmarkEnd w:id="46"/>
    <w:bookmarkEnd w:id="47"/>
    <w:bookmarkStart w:id="52" w:name="X8b76cbf259da6203c1a2d18b2dca0b04c5ac21c"/>
    <w:p>
      <w:pPr>
        <w:pStyle w:val="Heading2"/>
      </w:pPr>
      <w:r>
        <w:t xml:space="preserve">5. Conclusiones y Perspectivas y Mejoramiento Genético</w:t>
      </w:r>
    </w:p>
    <w:p>
      <w:pPr>
        <w:pStyle w:val="FirstParagraph"/>
      </w:pPr>
      <w:r>
        <w:t xml:space="preserve">La disección del pangenoma y el perfil funcional de</w:t>
      </w:r>
      <w:r>
        <w:t xml:space="preserve"> </w:t>
      </w:r>
      <w:r>
        <w:rPr>
          <w:i/>
          <w:iCs/>
        </w:rPr>
        <w:t xml:space="preserve">P. melanocephala</w:t>
      </w:r>
      <w:r>
        <w:t xml:space="preserve"> </w:t>
      </w:r>
      <w:r>
        <w:t xml:space="preserve">y</w:t>
      </w:r>
      <w:r>
        <w:t xml:space="preserve"> </w:t>
      </w:r>
      <w:r>
        <w:rPr>
          <w:i/>
          <w:iCs/>
        </w:rPr>
        <w:t xml:space="preserve">P. kuehnii</w:t>
      </w:r>
      <w:r>
        <w:t xml:space="preserve"> </w:t>
      </w:r>
      <w:r>
        <w:t xml:space="preserve">proporcionan una hoja de ruta directa para los programas de mejoramiento genético de la caña de azúcar y el diseño de nuevas estrategias de mitigación biotecnológica. Con base en el contenido genético descubierto, se proponen los siguientes blancos de alto impacto:</w:t>
      </w:r>
    </w:p>
    <w:bookmarkStart w:id="48" w:name="X9c1333b361e81df2878a3116c4a1160f08638c7"/>
    <w:p>
      <w:pPr>
        <w:pStyle w:val="Heading3"/>
      </w:pPr>
      <w:r>
        <w:t xml:space="preserve">A. Mejoramiento para Resistencia de Amplio Espectro (Genes Rho y Core Genoma)</w:t>
      </w:r>
    </w:p>
    <w:p>
      <w:pPr>
        <w:pStyle w:val="FirstParagraph"/>
      </w:pPr>
      <w:r>
        <w:t xml:space="preserve">El descubrimiento de que el 84% de las familias biológicas (2,943 genes base) conforman el</w:t>
      </w:r>
      <w:r>
        <w:t xml:space="preserve"> </w:t>
      </w:r>
      <w:r>
        <w:rPr>
          <w:i/>
          <w:iCs/>
        </w:rPr>
        <w:t xml:space="preserve">Core Genoma</w:t>
      </w:r>
      <w:r>
        <w:t xml:space="preserve"> </w:t>
      </w:r>
      <w:r>
        <w:t xml:space="preserve">compartido por ambas royas ofrece una oportunidad agronómica sin precedentes. Dentro de este núcleo basal destacan de manera crítica los</w:t>
      </w:r>
      <w:r>
        <w:t xml:space="preserve"> </w:t>
      </w:r>
      <w:r>
        <w:rPr>
          <w:b/>
          <w:bCs/>
        </w:rPr>
        <w:t xml:space="preserve">Genes Rho (efectores de evasión inmunológica)</w:t>
      </w:r>
      <w:r>
        <w:t xml:space="preserve">. Las royas utilizan las proteínas Rho para secuestrar y manipular la estructura de las células de la planta, impidiendo que el hospedero active sus respuestas de defensa primaria.</w:t>
      </w:r>
    </w:p>
    <w:p>
      <w:pPr>
        <w:pStyle w:val="BodyText"/>
      </w:pPr>
      <w:r>
        <w:t xml:space="preserve">Dado que estos Genes Rho son obligatorios y compartidos de forma conservada por ambas especies, representan un blanco ideal. Los programas de mejoramiento convencional y biotecnológico de</w:t>
      </w:r>
      <w:r>
        <w:t xml:space="preserve"> </w:t>
      </w:r>
      <w:r>
        <w:rPr>
          <w:i/>
          <w:iCs/>
        </w:rPr>
        <w:t xml:space="preserve">Saccharum</w:t>
      </w:r>
      <w:r>
        <w:t xml:space="preserve"> </w:t>
      </w:r>
      <w:r>
        <w:t xml:space="preserve">(caña de azúcar) deberían priorizar el desarrollo o tamizaje de variedades con genes de resistencia (R-genes) capaces de detectar físicamente a las proteínas Rho fúngicas. El reconocimiento de los genes Rho conferiría inmunidad horizontal, creando variedades de caña biológicamente blindadas tanto contra la Roya Café como contra la Roya Naranja de manera simultánea.</w:t>
      </w:r>
    </w:p>
    <w:bookmarkEnd w:id="48"/>
    <w:bookmarkStart w:id="49" w:name="X61396f96511fb9e65cc9a0349623a5f198446c8"/>
    <w:p>
      <w:pPr>
        <w:pStyle w:val="Heading3"/>
      </w:pPr>
      <w:r>
        <w:t xml:space="preserve">B. Silenciamiento Génico (HIGS/ARNi) contra el Sistema Sensorial</w:t>
      </w:r>
    </w:p>
    <w:p>
      <w:pPr>
        <w:pStyle w:val="FirstParagraph"/>
      </w:pPr>
      <w:r>
        <w:t xml:space="preserve">La expansión masiva de</w:t>
      </w:r>
      <w:r>
        <w:t xml:space="preserve"> </w:t>
      </w:r>
      <w:r>
        <w:rPr>
          <w:b/>
          <w:bCs/>
        </w:rPr>
        <w:t xml:space="preserve">Quinasas de Tirosina</w:t>
      </w:r>
      <w:r>
        <w:t xml:space="preserve"> </w:t>
      </w:r>
      <w:r>
        <w:t xml:space="preserve">y</w:t>
      </w:r>
      <w:r>
        <w:t xml:space="preserve"> </w:t>
      </w:r>
      <w:r>
        <w:rPr>
          <w:b/>
          <w:bCs/>
        </w:rPr>
        <w:t xml:space="preserve">Serina/Treonina Quinasas</w:t>
      </w:r>
      <w:r>
        <w:t xml:space="preserve"> </w:t>
      </w:r>
      <w:r>
        <w:t xml:space="preserve">(familias altamente abundantes en Roya Café) las convierte en un talón de Aquiles ideal para tecnologías de Silenciamiento Génico Inducido por el Hospedero (HIGS) o ARNi exógeno. Dado que estas quinasas funcionan como la red sensorial crítica para percibir la topología del estoma y desencadenar la formación del apresorio, el silenciamiento de sus dominios catalíticos conservados</w:t>
      </w:r>
      <w:r>
        <w:t xml:space="preserve"> </w:t>
      </w:r>
      <w:r>
        <w:t xml:space="preserve">“cegaría”</w:t>
      </w:r>
      <w:r>
        <w:t xml:space="preserve"> </w:t>
      </w:r>
      <w:r>
        <w:t xml:space="preserve">al patógeno, impidiendo la penetración de la hoja incluso si la espora logra germinar.</w:t>
      </w:r>
    </w:p>
    <w:bookmarkEnd w:id="49"/>
    <w:bookmarkStart w:id="50" w:name="X7d4893333ddb3e2770f42edcbde42f65c8d1e46"/>
    <w:p>
      <w:pPr>
        <w:pStyle w:val="Heading3"/>
      </w:pPr>
      <w:r>
        <w:t xml:space="preserve">C. Inducción de Colapso Genómico (Lethal Mutagenesis)</w:t>
      </w:r>
    </w:p>
    <w:p>
      <w:pPr>
        <w:pStyle w:val="FirstParagraph"/>
      </w:pPr>
      <w:r>
        <w:t xml:space="preserve">Se demostró que</w:t>
      </w:r>
      <w:r>
        <w:t xml:space="preserve"> </w:t>
      </w:r>
      <w:r>
        <w:rPr>
          <w:i/>
          <w:iCs/>
        </w:rPr>
        <w:t xml:space="preserve">P. melanocephala</w:t>
      </w:r>
      <w:r>
        <w:t xml:space="preserve"> </w:t>
      </w:r>
      <w:r>
        <w:t xml:space="preserve">posee un entorno genómico altamente mutagénico (impulsado por transposones), al cual sobrevive gracias a una gigantesca expansión de proteínas de reparación de ADN, como las</w:t>
      </w:r>
      <w:r>
        <w:t xml:space="preserve"> </w:t>
      </w:r>
      <w:r>
        <w:rPr>
          <w:b/>
          <w:bCs/>
        </w:rPr>
        <w:t xml:space="preserve">Helicasas (Superfamilia C-terminal)</w:t>
      </w:r>
      <w:r>
        <w:t xml:space="preserve">. El diseño de fungicidas de nueva generación o moléculas bloqueadoras (inhibidores enzimáticos) dirigidos específicamente a las helicasas de la roya interrumpiría su mecanismo de reparación. Sin esta maquinaria, la actividad inherente de sus transposones causaría rupturas cromosómicas letales, induciendo el suicidio del patógeno.</w:t>
      </w:r>
    </w:p>
    <w:bookmarkEnd w:id="50"/>
    <w:bookmarkStart w:id="51" w:name="Xa5b5f069fe751be52dc8cc352d67578c35ff04c"/>
    <w:p>
      <w:pPr>
        <w:pStyle w:val="Heading3"/>
      </w:pPr>
      <w:r>
        <w:t xml:space="preserve">D. Inhibición del Camuflaje y Bombas de Eflujo</w:t>
      </w:r>
    </w:p>
    <w:p>
      <w:pPr>
        <w:pStyle w:val="FirstParagraph"/>
      </w:pPr>
      <w:r>
        <w:t xml:space="preserve">La Roya Naranja (</w:t>
      </w:r>
      <w:r>
        <w:rPr>
          <w:i/>
          <w:iCs/>
        </w:rPr>
        <w:t xml:space="preserve">P. kuehnii</w:t>
      </w:r>
      <w:r>
        <w:t xml:space="preserve">) demostró una estrategia evolutiva enfocada en la pared celular a través de</w:t>
      </w:r>
      <w:r>
        <w:t xml:space="preserve"> </w:t>
      </w:r>
      <w:r>
        <w:rPr>
          <w:b/>
          <w:bCs/>
        </w:rPr>
        <w:t xml:space="preserve">Glicosiltransferasas ALG6/ALG8</w:t>
      </w:r>
      <w:r>
        <w:t xml:space="preserve">. Estos genes son fundamentales para el ensamblaje de glicoproteínas que enmascaran las hifas y evitan que la planta active la inmunidad desencadenada por PAMPs (PTI). El desarrollo de inhibidores bioquímicos contra estas enzimas despojaría al hongo de su</w:t>
      </w:r>
      <w:r>
        <w:t xml:space="preserve"> </w:t>
      </w:r>
      <w:r>
        <w:t xml:space="preserve">“camuflaje”</w:t>
      </w:r>
      <w:r>
        <w:t xml:space="preserve">.</w:t>
      </w:r>
      <w:r>
        <w:t xml:space="preserve"> </w:t>
      </w:r>
      <w:r>
        <w:t xml:space="preserve">Adicionalmente, el bloqueo biotecnológico de las familias de</w:t>
      </w:r>
      <w:r>
        <w:t xml:space="preserve"> </w:t>
      </w:r>
      <w:r>
        <w:rPr>
          <w:b/>
          <w:bCs/>
        </w:rPr>
        <w:t xml:space="preserve">Transportadores de membrana (ej. DUF2183 y MFS)</w:t>
      </w:r>
      <w:r>
        <w:t xml:space="preserve"> </w:t>
      </w:r>
      <w:r>
        <w:t xml:space="preserve">inhabilitaría la capacidad de ambos hongos para expulsar toxinas vegetales y agroquímicos, restaurando y potenciando dramáticamente la eficacia de los fungicidas comerciales actuales a dosis mucho menores.</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6" Target="media/rId36.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2026-10-06T13:08:42Z</dcterms:created>
  <dcterms:modified xsi:type="dcterms:W3CDTF">2026-10-06T13:08:42Z</dcterms:modified>
</cp:coreProperties>
</file>

<file path=docProps/custom.xml><?xml version="1.0" encoding="utf-8"?>
<Properties xmlns="http://schemas.openxmlformats.org/officeDocument/2006/custom-properties" xmlns:vt="http://schemas.openxmlformats.org/officeDocument/2006/docPropsVTypes"/>
</file>