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Started</w:t>
      </w:r>
      <w:r>
        <w:t xml:space="preserve"> </w:t>
      </w:r>
      <w:r>
        <w:t xml:space="preserve">on</w:t>
      </w:r>
      <w:r>
        <w:t xml:space="preserve"> </w:t>
      </w:r>
      <w:r>
        <w:t xml:space="preserve">AnVIL</w:t>
      </w:r>
    </w:p>
    <w:p>
      <w:pPr>
        <w:pStyle w:val="Date"/>
      </w:pPr>
      <w:r>
        <w:t xml:space="preserve">September</w:t>
      </w:r>
      <w:r>
        <w:t xml:space="preserve"> </w:t>
      </w:r>
      <w:r>
        <w:t xml:space="preserve">12,</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about-this-book"/>
    <w:p>
      <w:pPr>
        <w:pStyle w:val="Heading1"/>
      </w:pPr>
      <w:r>
        <w:t xml:space="preserve">About this Book</w:t>
      </w:r>
    </w:p>
    <w:p>
      <w:pPr>
        <w:pStyle w:val="FirstParagraph"/>
      </w:pPr>
      <w:r>
        <w:t xml:space="preserve">This book is part of a series of books for the Genomic Data Science Analysis, Visualization, and Informatics Lab-space (AnVIL) of the National Human Genome Research Institute (NHGRI). Here, we present opinionated step-by-step guides for setting up accounts focused on three personas: PIs, Analysts, and Consortia.</w:t>
      </w:r>
    </w:p>
    <w:p>
      <w:pPr>
        <w:pStyle w:val="BodyText"/>
      </w:pPr>
      <w:r>
        <w:drawing>
          <wp:inline>
            <wp:extent cx="4267200" cy="2400300"/>
            <wp:effectExtent b="0" l="0" r="0" t="0"/>
            <wp:docPr descr="" title="" id="21" name="Picture"/>
            <a:graphic>
              <a:graphicData uri="http://schemas.openxmlformats.org/drawingml/2006/picture">
                <pic:pic>
                  <pic:nvPicPr>
                    <pic:cNvPr descr="index_files/figure-docx//1kGxHkP0JVPNF1kla5XEqaIt1yz9s4ZbgzJ2zfL7GmTE_gf8e59f4b48_0_0.png" id="22" name="Picture"/>
                    <pic:cNvPicPr>
                      <a:picLocks noChangeArrowheads="1" noChangeAspect="1"/>
                    </pic:cNvPicPr>
                  </pic:nvPicPr>
                  <pic:blipFill>
                    <a:blip r:embed="rId20"/>
                    <a:stretch>
                      <a:fillRect/>
                    </a:stretch>
                  </pic:blipFill>
                  <pic:spPr bwMode="auto">
                    <a:xfrm>
                      <a:off x="0" y="0"/>
                      <a:ext cx="4267200" cy="2400300"/>
                    </a:xfrm>
                    <a:prstGeom prst="rect">
                      <a:avLst/>
                    </a:prstGeom>
                    <a:noFill/>
                    <a:ln w="9525">
                      <a:noFill/>
                      <a:headEnd/>
                      <a:tailEnd/>
                    </a:ln>
                  </pic:spPr>
                </pic:pic>
              </a:graphicData>
            </a:graphic>
          </wp:inline>
        </w:drawing>
      </w:r>
    </w:p>
    <w:bookmarkStart w:id="23" w:name="skills-level"/>
    <w:p>
      <w:pPr>
        <w:pStyle w:val="Heading3"/>
      </w:pPr>
      <w:r>
        <w:t xml:space="preserve">Skills Level</w:t>
      </w:r>
    </w:p>
    <w:p>
      <w:pPr>
        <w:pStyle w:val="FirstParagraph"/>
      </w:pPr>
      <w:r>
        <w:t xml:space="preserve">Please choose the closest matching persona from the lefthand menu.</w:t>
      </w:r>
    </w:p>
    <w:p>
      <w:pPr>
        <w:pStyle w:val="BodyText"/>
      </w:pPr>
      <w:r>
        <w:rPr>
          <w:iCs/>
          <w:i/>
        </w:rPr>
        <w:t xml:space="preserve">Genetics</w:t>
      </w:r>
    </w:p>
    <w:p>
      <w:pPr>
        <w:pStyle w:val="BodyText"/>
      </w:pPr>
      <w:r>
        <w:rPr>
          <w:bCs/>
          <w:b/>
        </w:rPr>
        <w:t xml:space="preserve">Novice</w:t>
      </w:r>
      <w:r>
        <w:t xml:space="preserve">: no genetics knowledge needed</w:t>
      </w:r>
    </w:p>
    <w:p>
      <w:pPr>
        <w:pStyle w:val="BodyText"/>
      </w:pPr>
      <w:r>
        <w:rPr>
          <w:iCs/>
          <w:i/>
        </w:rPr>
        <w:t xml:space="preserve">Programming skills</w:t>
      </w:r>
    </w:p>
    <w:p>
      <w:pPr>
        <w:pStyle w:val="BodyText"/>
      </w:pPr>
      <w:r>
        <w:rPr>
          <w:bCs/>
          <w:b/>
        </w:rPr>
        <w:t xml:space="preserve">Novice</w:t>
      </w:r>
      <w:r>
        <w:t xml:space="preserve">: no programming experience needed</w:t>
      </w:r>
    </w:p>
    <w:bookmarkEnd w:id="23"/>
    <w:bookmarkStart w:id="24" w:name="how-to-use-this-book"/>
    <w:p>
      <w:pPr>
        <w:pStyle w:val="Heading3"/>
      </w:pPr>
      <w:r>
        <w:t xml:space="preserve">How to Use This Book</w:t>
      </w:r>
    </w:p>
    <w:p>
      <w:pPr>
        <w:pStyle w:val="FirstParagraph"/>
      </w:pPr>
      <w:r>
        <w:t xml:space="preserve">This book is not intended to be read through sequentially, rather, it is a collection of guides that you can reference based on your needs. It is divided into two major sections:</w:t>
      </w:r>
    </w:p>
    <w:p>
      <w:pPr>
        <w:pStyle w:val="BodyText"/>
      </w:pPr>
      <w:r>
        <w:rPr>
          <w:bCs/>
          <w:b/>
        </w:rPr>
        <w:t xml:space="preserve">Account Setup</w:t>
      </w:r>
    </w:p>
    <w:p>
      <w:pPr>
        <w:pStyle w:val="BodyText"/>
      </w:pPr>
      <w:r>
        <w:t xml:space="preserve">Step-by-step instructions for new AnVIL users to set up their accounts and start using the AnVIL platform. We have included recommendations for configuring your accounts based on several common use cases:</w:t>
      </w:r>
    </w:p>
    <w:p>
      <w:pPr>
        <w:numPr>
          <w:ilvl w:val="0"/>
          <w:numId w:val="1001"/>
        </w:numPr>
        <w:pStyle w:val="Compact"/>
      </w:pPr>
      <w:r>
        <w:rPr>
          <w:bCs/>
          <w:b/>
        </w:rPr>
        <w:t xml:space="preserve">PIs and Lab Managers</w:t>
      </w:r>
      <w:r>
        <w:t xml:space="preserve">: managing a team of researchers working on AnVIL</w:t>
      </w:r>
    </w:p>
    <w:p>
      <w:pPr>
        <w:numPr>
          <w:ilvl w:val="0"/>
          <w:numId w:val="1001"/>
        </w:numPr>
        <w:pStyle w:val="Compact"/>
      </w:pPr>
      <w:r>
        <w:rPr>
          <w:bCs/>
          <w:b/>
        </w:rPr>
        <w:t xml:space="preserve">Data Analysts</w:t>
      </w:r>
      <w:r>
        <w:t xml:space="preserve">: joining a team working on AnVIL</w:t>
      </w:r>
    </w:p>
    <w:p>
      <w:pPr>
        <w:numPr>
          <w:ilvl w:val="0"/>
          <w:numId w:val="1001"/>
        </w:numPr>
        <w:pStyle w:val="Compact"/>
      </w:pPr>
      <w:r>
        <w:rPr>
          <w:bCs/>
          <w:b/>
        </w:rPr>
        <w:t xml:space="preserve">Consortia</w:t>
      </w:r>
      <w:r>
        <w:t xml:space="preserve">: using AnVIL as part of a research consortium</w:t>
      </w:r>
    </w:p>
    <w:p>
      <w:pPr>
        <w:pStyle w:val="FirstParagraph"/>
      </w:pPr>
      <w:r>
        <w:rPr>
          <w:bCs/>
          <w:b/>
        </w:rPr>
        <w:t xml:space="preserve">Working on AnVIL</w:t>
      </w:r>
    </w:p>
    <w:p>
      <w:pPr>
        <w:pStyle w:val="BodyText"/>
      </w:pPr>
      <w:r>
        <w:t xml:space="preserve">Examples and walkthroughs of common tasks on the AnVIL platform:</w:t>
      </w:r>
    </w:p>
    <w:p>
      <w:pPr>
        <w:numPr>
          <w:ilvl w:val="0"/>
          <w:numId w:val="1002"/>
        </w:numPr>
        <w:pStyle w:val="Compact"/>
      </w:pPr>
      <w:r>
        <w:rPr>
          <w:bCs/>
          <w:b/>
        </w:rPr>
        <w:t xml:space="preserve">Workspaces</w:t>
      </w:r>
      <w:r>
        <w:t xml:space="preserve">: how to create and clone research spaces on AnVIL</w:t>
      </w:r>
    </w:p>
    <w:p>
      <w:pPr>
        <w:numPr>
          <w:ilvl w:val="0"/>
          <w:numId w:val="1002"/>
        </w:numPr>
        <w:pStyle w:val="Compact"/>
      </w:pPr>
      <w:r>
        <w:rPr>
          <w:bCs/>
          <w:b/>
        </w:rPr>
        <w:t xml:space="preserve">Tools</w:t>
      </w:r>
      <w:r>
        <w:t xml:space="preserve">: how to run common tools including Jupyter Notebooks, Galaxy, and RStudio</w:t>
      </w:r>
    </w:p>
    <w:p>
      <w:pPr>
        <w:numPr>
          <w:ilvl w:val="0"/>
          <w:numId w:val="1002"/>
        </w:numPr>
        <w:pStyle w:val="Compact"/>
      </w:pPr>
      <w:r>
        <w:rPr>
          <w:bCs/>
          <w:b/>
        </w:rPr>
        <w:t xml:space="preserve">Data</w:t>
      </w:r>
      <w:r>
        <w:t xml:space="preserve">: how to find and access AnVIL datasets, as well as upload and manage your own data</w:t>
      </w:r>
    </w:p>
    <w:p>
      <w:pPr>
        <w:numPr>
          <w:ilvl w:val="0"/>
          <w:numId w:val="1002"/>
        </w:numPr>
        <w:pStyle w:val="Compact"/>
      </w:pPr>
      <w:r>
        <w:rPr>
          <w:bCs/>
          <w:b/>
        </w:rPr>
        <w:t xml:space="preserve">Workflows</w:t>
      </w:r>
      <w:r>
        <w:t xml:space="preserve">: how to find and run existing automated data processing pipelines, and how to customize and share your own</w:t>
      </w:r>
    </w:p>
    <w:bookmarkEnd w:id="24"/>
    <w:bookmarkStart w:id="28" w:name="Xc58235458b405129cc51c752cee29d118205b7b"/>
    <w:p>
      <w:pPr>
        <w:pStyle w:val="Heading3"/>
      </w:pPr>
      <w:r>
        <w:t xml:space="preserve">Activate</w:t>
      </w:r>
      <w:r>
        <w:t xml:space="preserve"> </w:t>
      </w:r>
      <w:r>
        <w:rPr>
          <w:rStyle w:val="VerbatimChar"/>
        </w:rPr>
        <w:t xml:space="preserve">scroll_highlight</w:t>
      </w:r>
      <w:r>
        <w:t xml:space="preserve"> </w:t>
      </w:r>
      <w:r>
        <w:t xml:space="preserve">Feature {#scroll-highlight}</w:t>
      </w:r>
    </w:p>
    <w:p>
      <w:pPr>
        <w:pStyle w:val="FirstParagraph"/>
      </w:pPr>
      <w:r>
        <w:t xml:space="preserve">Note that some sections of this book cover steps in a lot of detail. When navigating the table of contents, you can click subsection (e.g., 2.1, 4.3) headers a second time to expand the table of contents and enable the</w:t>
      </w:r>
      <w:r>
        <w:t xml:space="preserve"> </w:t>
      </w:r>
      <w:r>
        <w:rPr>
          <w:rStyle w:val="VerbatimChar"/>
        </w:rPr>
        <w:t xml:space="preserve">scroll_highlight</w:t>
      </w:r>
      <w:r>
        <w:t xml:space="preserve"> </w:t>
      </w:r>
      <w:r>
        <w:t xml:space="preserve">feature. This can help you follow the separate steps within more clearly.</w:t>
      </w:r>
    </w:p>
    <w:p>
      <w:pPr>
        <w:pStyle w:val="BodyText"/>
      </w:pPr>
      <w:r>
        <w:drawing>
          <wp:inline>
            <wp:extent cx="5334000" cy="3000375"/>
            <wp:effectExtent b="0" l="0" r="0" t="0"/>
            <wp:docPr descr="" title="" id="26" name="Picture"/>
            <a:graphic>
              <a:graphicData uri="http://schemas.openxmlformats.org/drawingml/2006/picture">
                <pic:pic>
                  <pic:nvPicPr>
                    <pic:cNvPr descr="index_files/figure-docx//1kGxHkP0JVPNF1kla5XEqaIt1yz9s4ZbgzJ2zfL7GmTE_gde0d2ef5f6_0_1.png" id="27" name="Picture"/>
                    <pic:cNvPicPr>
                      <a:picLocks noChangeArrowheads="1" noChangeAspect="1"/>
                    </pic:cNvPicPr>
                  </pic:nvPicPr>
                  <pic:blipFill>
                    <a:blip r:embed="rId25"/>
                    <a:stretch>
                      <a:fillRect/>
                    </a:stretch>
                  </pic:blipFill>
                  <pic:spPr bwMode="auto">
                    <a:xfrm>
                      <a:off x="0" y="0"/>
                      <a:ext cx="5334000" cy="3000375"/>
                    </a:xfrm>
                    <a:prstGeom prst="rect">
                      <a:avLst/>
                    </a:prstGeom>
                    <a:noFill/>
                    <a:ln w="9525">
                      <a:noFill/>
                      <a:headEnd/>
                      <a:tailEnd/>
                    </a:ln>
                  </pic:spPr>
                </pic:pic>
              </a:graphicData>
            </a:graphic>
          </wp:inline>
        </w:drawing>
      </w:r>
    </w:p>
    <w:bookmarkEnd w:id="28"/>
    <w:bookmarkEnd w:id="29"/>
    <w:bookmarkStart w:id="33" w:name="student-guide"/>
    <w:p>
      <w:pPr>
        <w:pStyle w:val="Heading1"/>
      </w:pPr>
      <w:r>
        <w:rPr>
          <w:rStyle w:val="SectionNumber"/>
        </w:rPr>
        <w:t xml:space="preserve">1</w:t>
      </w:r>
      <w:r>
        <w:tab/>
      </w:r>
      <w:r>
        <w:t xml:space="preserve">Student Guide</w:t>
      </w:r>
    </w:p>
    <w:bookmarkStart w:id="31" w:name="activity-one"/>
    <w:p>
      <w:pPr>
        <w:pStyle w:val="Heading2"/>
      </w:pPr>
      <w:r>
        <w:rPr>
          <w:rStyle w:val="SectionNumber"/>
        </w:rPr>
        <w:t xml:space="preserve">1.1</w:t>
      </w:r>
      <w:r>
        <w:tab/>
      </w:r>
      <w:r>
        <w:t xml:space="preserve">Activity One</w:t>
      </w:r>
    </w:p>
    <w:p>
      <w:pPr>
        <w:pStyle w:val="FirstParagraph"/>
      </w:pPr>
      <w:r>
        <w:t xml:space="preserve">Many of the AnVIL books that are designed for teaching a class or workshop contain information aimed at the instructor.</w:t>
      </w:r>
    </w:p>
    <w:p>
      <w:pPr>
        <w:pStyle w:val="BodyText"/>
      </w:pPr>
      <w:r>
        <w:t xml:space="preserve">You might want to create a</w:t>
      </w:r>
      <w:r>
        <w:t xml:space="preserve"> </w:t>
      </w:r>
      <w:r>
        <w:t xml:space="preserve">“</w:t>
      </w:r>
      <w:r>
        <w:t xml:space="preserve">student guide</w:t>
      </w:r>
      <w:r>
        <w:t xml:space="preserve">”</w:t>
      </w:r>
      <w:r>
        <w:t xml:space="preserve"> </w:t>
      </w:r>
      <w:r>
        <w:t xml:space="preserve">that contains a different subset of Rmd files from your book, or renders to a different output format (e.g. word document). You can specify the output and Rmd files that will be used for the student guide using the</w:t>
      </w:r>
      <w:r>
        <w:t xml:space="preserve"> </w:t>
      </w:r>
      <w:r>
        <w:rPr>
          <w:rStyle w:val="VerbatimChar"/>
        </w:rPr>
        <w:t xml:space="preserve">_output.yml</w:t>
      </w:r>
      <w:r>
        <w:t xml:space="preserve"> </w:t>
      </w:r>
      <w:r>
        <w:t xml:space="preserve">and</w:t>
      </w:r>
      <w:r>
        <w:t xml:space="preserve"> </w:t>
      </w:r>
      <w:r>
        <w:rPr>
          <w:rStyle w:val="VerbatimChar"/>
        </w:rPr>
        <w:t xml:space="preserve">_bookdown.yml</w:t>
      </w:r>
      <w:r>
        <w:t xml:space="preserve"> </w:t>
      </w:r>
      <w:r>
        <w:t xml:space="preserve">files in the</w:t>
      </w:r>
      <w:r>
        <w:t xml:space="preserve"> </w:t>
      </w:r>
      <w:r>
        <w:rPr>
          <w:rStyle w:val="VerbatimChar"/>
        </w:rPr>
        <w:t xml:space="preserve">student-guide</w:t>
      </w:r>
      <w:r>
        <w:t xml:space="preserve"> </w:t>
      </w:r>
      <w:r>
        <w:t xml:space="preserve">directory.</w:t>
      </w:r>
    </w:p>
    <w:p>
      <w:pPr>
        <w:pStyle w:val="BodyText"/>
      </w:pPr>
      <w:r>
        <w:t xml:space="preserve">By default, repositories based on</w:t>
      </w:r>
      <w:r>
        <w:t xml:space="preserve"> </w:t>
      </w:r>
      <w:r>
        <w:rPr>
          <w:rStyle w:val="VerbatimChar"/>
        </w:rPr>
        <w:t xml:space="preserve">AnVIL_Template</w:t>
      </w:r>
      <w:r>
        <w:t xml:space="preserve"> </w:t>
      </w:r>
      <w:r>
        <w:t xml:space="preserve">create a docx file containing this chapter as an example. Once you have adjusted</w:t>
      </w:r>
      <w:r>
        <w:t xml:space="preserve"> </w:t>
      </w:r>
      <w:r>
        <w:rPr>
          <w:rStyle w:val="VerbatimChar"/>
        </w:rPr>
        <w:t xml:space="preserve">student-guide/bookdown.yml</w:t>
      </w:r>
      <w:r>
        <w:t xml:space="preserve"> </w:t>
      </w:r>
      <w:r>
        <w:t xml:space="preserve">to include the chapters you want in your student guide, you can link to it by replacing</w:t>
      </w:r>
      <w:r>
        <w:t xml:space="preserve"> </w:t>
      </w:r>
      <w:r>
        <w:rPr>
          <w:rStyle w:val="VerbatimChar"/>
        </w:rPr>
        <w:t xml:space="preserve">{repo-name}</w:t>
      </w:r>
      <w:r>
        <w:t xml:space="preserve"> </w:t>
      </w:r>
      <w:r>
        <w:t xml:space="preserve">in the following URL:</w:t>
      </w:r>
    </w:p>
    <w:p>
      <w:pPr>
        <w:pStyle w:val="BodyText"/>
      </w:pPr>
      <w:r>
        <w:rPr>
          <w:rStyle w:val="VerbatimChar"/>
        </w:rPr>
        <w:t xml:space="preserve">https://github.com/jhudsl/{repo-name}/raw/main/student-guide/docs/Student_Guide.docx</w:t>
      </w:r>
    </w:p>
    <w:p>
      <w:pPr>
        <w:pStyle w:val="BodyText"/>
      </w:pPr>
      <w:r>
        <w:t xml:space="preserve">When someone clicks this link, they will download the docx file. For example, here is the link for the student guide from</w:t>
      </w:r>
      <w:r>
        <w:t xml:space="preserve"> </w:t>
      </w:r>
      <w:r>
        <w:rPr>
          <w:rStyle w:val="VerbatimChar"/>
        </w:rPr>
        <w:t xml:space="preserve">AnVIL_Template</w:t>
      </w:r>
      <w:r>
        <w:t xml:space="preserve">:</w:t>
      </w:r>
    </w:p>
    <w:p>
      <w:pPr>
        <w:pStyle w:val="BodyText"/>
      </w:pPr>
      <w:hyperlink r:id="rId30">
        <w:r>
          <w:rPr>
            <w:rStyle w:val="Hyperlink"/>
          </w:rPr>
          <w:t xml:space="preserve">https://github.com/jhudsl/AnVIL_Template/raw/main/student-guide/docs/Student_Guide.docx</w:t>
        </w:r>
      </w:hyperlink>
    </w:p>
    <w:bookmarkEnd w:id="31"/>
    <w:bookmarkStart w:id="32" w:name="activity-two"/>
    <w:p>
      <w:pPr>
        <w:pStyle w:val="Heading2"/>
      </w:pPr>
      <w:r>
        <w:rPr>
          <w:rStyle w:val="SectionNumber"/>
        </w:rPr>
        <w:t xml:space="preserve">1.2</w:t>
      </w:r>
      <w:r>
        <w:tab/>
      </w:r>
      <w:r>
        <w:t xml:space="preserve">Activity Two</w:t>
      </w:r>
    </w:p>
    <w:p>
      <w:pPr>
        <w:pStyle w:val="FirstParagraph"/>
      </w:pPr>
      <w:r>
        <w:t xml:space="preserve">Steps of the guide could go here.</w:t>
      </w:r>
    </w:p>
    <w:bookmarkEnd w:id="32"/>
    <w:bookmarkEnd w:id="33"/>
    <w:bookmarkStart w:id="50" w:name="about"/>
    <w:p>
      <w:pPr>
        <w:pStyle w:val="Heading1"/>
      </w:pPr>
      <w:r>
        <w:t xml:space="preserve">About the Authors</w:t>
      </w:r>
    </w:p>
    <w:p>
      <w:pPr>
        <w:pStyle w:val="FirstParagraph"/>
      </w:pPr>
      <w:r>
        <w:t xml:space="preserve">These credits are based on our</w:t>
      </w:r>
      <w:r>
        <w:t xml:space="preserve"> </w:t>
      </w:r>
      <w:hyperlink r:id="rId34">
        <w:r>
          <w:rPr>
            <w:rStyle w:val="Hyperlink"/>
          </w:rPr>
          <w:t xml:space="preserve">course contributors table guidelines</w:t>
        </w:r>
      </w:hyperlink>
      <w:r>
        <w:t xml:space="preserve">.</w:t>
      </w:r>
    </w:p>
    <w:p>
      <w:pPr>
        <w:pStyle w:val="BodyText"/>
      </w:pPr>
      <w:r>
        <w:t xml:space="preserve"> </w:t>
      </w:r>
      <w:r>
        <w:t xml:space="preserve"> </w:t>
      </w:r>
      <w:r>
        <w:t xml:space="preserve"> </w:t>
      </w:r>
      <w:r>
        <w:t xml:space="preserve"> </w:t>
      </w:r>
      <w:r>
        <w:rPr>
          <w:iCs/>
          <w:i/>
          <w:bCs/>
          <w:b/>
        </w:rPr>
        <w:t xml:space="preserve">In</w:t>
      </w:r>
      <w:r>
        <w:rPr>
          <w:iCs/>
          <w:i/>
          <w:bCs/>
          <w:b/>
        </w:rPr>
        <w:t xml:space="preserve"> </w:t>
      </w:r>
      <w:hyperlink r:id="rId35">
        <w:r>
          <w:rPr>
            <w:rStyle w:val="Hyperlink"/>
            <w:iCs/>
            <w:i/>
            <w:bCs/>
            <w:b/>
          </w:rPr>
          <w:t xml:space="preserve">memory</w:t>
        </w:r>
      </w:hyperlink>
      <w:r>
        <w:rPr>
          <w:iCs/>
          <w:i/>
          <w:bCs/>
          <w:b/>
        </w:rPr>
        <w:t xml:space="preserve"> </w:t>
      </w:r>
      <w:r>
        <w:rPr>
          <w:iCs/>
          <w:i/>
          <w:bCs/>
          <w:b/>
        </w:rPr>
        <w:t xml:space="preserve">of</w:t>
      </w:r>
      <w:r>
        <w:rPr>
          <w:iCs/>
          <w:i/>
          <w:bCs/>
          <w:b/>
        </w:rPr>
        <w:t xml:space="preserve"> </w:t>
      </w:r>
      <w:hyperlink r:id="rId36">
        <w:r>
          <w:rPr>
            <w:rStyle w:val="Hyperlink"/>
            <w:iCs/>
            <w:i/>
            <w:bCs/>
            <w:b/>
          </w:rPr>
          <w:t xml:space="preserve">James Taylor</w:t>
        </w:r>
      </w:hyperlink>
      <w:r>
        <w:rPr>
          <w:iCs/>
          <w:i/>
          <w:bCs/>
          <w:b/>
        </w:rPr>
        <w:t xml:space="preserve">, who was instrumental in initiating this project.</w:t>
      </w:r>
    </w:p>
    <w:p>
      <w:pPr>
        <w:pStyle w:val="BodyText"/>
      </w:pP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37">
              <w:r>
                <w:rPr>
                  <w:rStyle w:val="Hyperlink"/>
                </w:rPr>
                <w:t xml:space="preserve">Katherine Cox</w:t>
              </w:r>
            </w:hyperlink>
            <w:r>
              <w:t xml:space="preserve">,</w:t>
            </w:r>
            <w:r>
              <w:t xml:space="preserve"> </w:t>
            </w:r>
            <w:hyperlink r:id="rId38">
              <w:r>
                <w:rPr>
                  <w:rStyle w:val="Hyperlink"/>
                </w:rPr>
                <w:t xml:space="preserve">Ava Hoffman</w:t>
              </w:r>
            </w:hyperlink>
          </w:p>
        </w:tc>
      </w:tr>
      <w:tr>
        <w:tc>
          <w:tcPr/>
          <w:p>
            <w:pPr>
              <w:pStyle w:val="Compact"/>
              <w:jc w:val="left"/>
            </w:pPr>
            <w:r>
              <w:t xml:space="preserve">Content Contributors</w:t>
            </w:r>
          </w:p>
        </w:tc>
        <w:tc>
          <w:tcPr/>
          <w:p>
            <w:pPr>
              <w:pStyle w:val="Compact"/>
              <w:jc w:val="left"/>
            </w:pPr>
            <w:hyperlink r:id="rId39">
              <w:r>
                <w:rPr>
                  <w:rStyle w:val="Hyperlink"/>
                </w:rPr>
                <w:t xml:space="preserve">Kai Kammers</w:t>
              </w:r>
            </w:hyperlink>
            <w:r>
              <w:t xml:space="preserve">,</w:t>
            </w:r>
            <w:r>
              <w:t xml:space="preserve"> </w:t>
            </w:r>
            <w:hyperlink r:id="rId40">
              <w:r>
                <w:rPr>
                  <w:rStyle w:val="Hyperlink"/>
                </w:rPr>
                <w:t xml:space="preserve">Frederick Tan</w:t>
              </w:r>
            </w:hyperlink>
            <w:r>
              <w:t xml:space="preserve">,</w:t>
            </w:r>
            <w:r>
              <w:t xml:space="preserve"> </w:t>
            </w:r>
            <w:hyperlink r:id="rId41">
              <w:r>
                <w:rPr>
                  <w:rStyle w:val="Hyperlink"/>
                </w:rPr>
                <w:t xml:space="preserve">Sarah Wheelan</w:t>
              </w:r>
            </w:hyperlink>
          </w:p>
        </w:tc>
      </w:tr>
      <w:tr>
        <w:tc>
          <w:tcPr/>
          <w:p>
            <w:pPr>
              <w:pStyle w:val="Compact"/>
              <w:jc w:val="left"/>
            </w:pPr>
            <w:r>
              <w:t xml:space="preserve">Content Editors/Reviewers</w:t>
            </w:r>
          </w:p>
        </w:tc>
        <w:tc>
          <w:tcPr/>
          <w:p>
            <w:pPr>
              <w:pStyle w:val="Compact"/>
              <w:jc w:val="left"/>
            </w:pPr>
            <w:r>
              <w:t xml:space="preserve">Natalie Kucher,</w:t>
            </w:r>
            <w:r>
              <w:t xml:space="preserve"> </w:t>
            </w:r>
            <w:hyperlink r:id="rId42">
              <w:r>
                <w:rPr>
                  <w:rStyle w:val="Hyperlink"/>
                </w:rPr>
                <w:t xml:space="preserve">Jeff Leek</w:t>
              </w:r>
            </w:hyperlink>
            <w:r>
              <w:t xml:space="preserve">, Valerie Reeves,</w:t>
            </w:r>
            <w:r>
              <w:t xml:space="preserve"> </w:t>
            </w:r>
            <w:hyperlink r:id="rId40">
              <w:r>
                <w:rPr>
                  <w:rStyle w:val="Hyperlink"/>
                </w:rPr>
                <w:t xml:space="preserve">Frederick Tan</w:t>
              </w:r>
            </w:hyperlink>
          </w:p>
        </w:tc>
      </w:tr>
      <w:tr>
        <w:tc>
          <w:tcPr/>
          <w:p>
            <w:pPr>
              <w:pStyle w:val="Compact"/>
              <w:jc w:val="left"/>
            </w:pPr>
            <w:r>
              <w:t xml:space="preserve">Content Directors</w:t>
            </w:r>
          </w:p>
        </w:tc>
        <w:tc>
          <w:tcPr/>
          <w:p>
            <w:pPr>
              <w:pStyle w:val="Compact"/>
              <w:jc w:val="left"/>
            </w:pPr>
            <w:hyperlink r:id="rId42">
              <w:r>
                <w:rPr>
                  <w:rStyle w:val="Hyperlink"/>
                </w:rPr>
                <w:t xml:space="preserve">Jeff Leek</w:t>
              </w:r>
            </w:hyperlink>
            <w:r>
              <w:t xml:space="preserve">,</w:t>
            </w:r>
            <w:r>
              <w:t xml:space="preserve"> </w:t>
            </w:r>
            <w:hyperlink r:id="rId40">
              <w:r>
                <w:rPr>
                  <w:rStyle w:val="Hyperlink"/>
                </w:rPr>
                <w:t xml:space="preserve">Frederick Tan</w:t>
              </w:r>
            </w:hyperlink>
          </w:p>
        </w:tc>
      </w:tr>
      <w:tr>
        <w:tc>
          <w:tcPr/>
          <w:p>
            <w:pPr>
              <w:pStyle w:val="Compact"/>
              <w:jc w:val="left"/>
            </w:pPr>
            <w:r>
              <w:t xml:space="preserve">Content Consultants</w:t>
            </w:r>
          </w:p>
        </w:tc>
        <w:tc>
          <w:tcPr/>
          <w:p>
            <w:pPr>
              <w:pStyle w:val="Compact"/>
              <w:jc w:val="left"/>
            </w:pPr>
            <w:hyperlink r:id="rId43">
              <w:r>
                <w:rPr>
                  <w:rStyle w:val="Hyperlink"/>
                </w:rPr>
                <w:t xml:space="preserve">Allie Cliffe</w:t>
              </w:r>
            </w:hyperlink>
            <w:r>
              <w:t xml:space="preserve">, Candace Patterson</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w:t>
            </w:r>
          </w:p>
        </w:tc>
        <w:tc>
          <w:tcPr/>
          <w:p>
            <w:pPr>
              <w:pStyle w:val="Compact"/>
              <w:jc w:val="left"/>
            </w:pPr>
            <w:hyperlink r:id="rId44">
              <w:r>
                <w:rPr>
                  <w:rStyle w:val="Hyperlink"/>
                </w:rPr>
                <w:t xml:space="preserve">Ira Gooding</w:t>
              </w:r>
            </w:hyperlink>
          </w:p>
        </w:tc>
      </w:tr>
      <w:tr>
        <w:tc>
          <w:tcPr/>
          <w:p>
            <w:pPr>
              <w:pStyle w:val="Compact"/>
              <w:jc w:val="left"/>
            </w:pPr>
            <w:r>
              <w:rPr>
                <w:bCs/>
                <w:b/>
              </w:rPr>
              <w:t xml:space="preserve">Technical</w:t>
            </w:r>
          </w:p>
        </w:tc>
        <w:tc>
          <w:tcPr/>
          <w:p>
            <w:pPr>
              <w:pStyle w:val="Compact"/>
            </w:pPr>
          </w:p>
        </w:tc>
      </w:tr>
      <w:tr>
        <w:tc>
          <w:tcPr/>
          <w:p>
            <w:pPr>
              <w:pStyle w:val="Compact"/>
              <w:jc w:val="left"/>
            </w:pPr>
            <w:r>
              <w:t xml:space="preserve">Template Publishing Engineers</w:t>
            </w:r>
          </w:p>
        </w:tc>
        <w:tc>
          <w:tcPr/>
          <w:p>
            <w:pPr>
              <w:pStyle w:val="Compact"/>
              <w:jc w:val="left"/>
            </w:pPr>
            <w:hyperlink r:id="rId45">
              <w:r>
                <w:rPr>
                  <w:rStyle w:val="Hyperlink"/>
                </w:rPr>
                <w:t xml:space="preserve">Candace Savonen</w:t>
              </w:r>
            </w:hyperlink>
            <w:r>
              <w:t xml:space="preserve">,</w:t>
            </w:r>
            <w:r>
              <w:t xml:space="preserve"> </w:t>
            </w:r>
            <w:hyperlink r:id="rId46">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45">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46">
              <w:r>
                <w:rPr>
                  <w:rStyle w:val="Hyperlink"/>
                </w:rPr>
                <w:t xml:space="preserve">Carrie Wright</w:t>
              </w:r>
            </w:hyperlink>
            <w:r>
              <w:t xml:space="preserve">,</w:t>
            </w:r>
            <w:r>
              <w:t xml:space="preserve"> </w:t>
            </w:r>
            <w:hyperlink r:id="rId45">
              <w:r>
                <w:rPr>
                  <w:rStyle w:val="Hyperlink"/>
                </w:rPr>
                <w:t xml:space="preserve">Candace Savonen</w:t>
              </w:r>
            </w:hyperlink>
          </w:p>
        </w:tc>
      </w:tr>
      <w:tr>
        <w:tc>
          <w:tcPr/>
          <w:p>
            <w:pPr>
              <w:pStyle w:val="Compact"/>
              <w:jc w:val="left"/>
            </w:pPr>
            <w:r>
              <w:t xml:space="preserve">Package Developers (</w:t>
            </w:r>
            <w:hyperlink r:id="rId47">
              <w:r>
                <w:rPr>
                  <w:rStyle w:val="Hyperlink"/>
                </w:rPr>
                <w:t xml:space="preserve">ottrpal</w:t>
              </w:r>
            </w:hyperlink>
            <w:r>
              <w:t xml:space="preserve">)</w:t>
            </w:r>
          </w:p>
        </w:tc>
        <w:tc>
          <w:tcPr/>
          <w:p>
            <w:pPr>
              <w:pStyle w:val="Compact"/>
              <w:jc w:val="left"/>
            </w:pPr>
            <w:hyperlink r:id="rId48">
              <w:r>
                <w:rPr>
                  <w:rStyle w:val="Hyperlink"/>
                </w:rPr>
                <w:t xml:space="preserve">John Muschelli</w:t>
              </w:r>
            </w:hyperlink>
            <w:r>
              <w:t xml:space="preserve">,</w:t>
            </w:r>
            <w:r>
              <w:t xml:space="preserve"> </w:t>
            </w:r>
            <w:hyperlink r:id="rId45">
              <w:r>
                <w:rPr>
                  <w:rStyle w:val="Hyperlink"/>
                </w:rPr>
                <w:t xml:space="preserve">Candace Savonen</w:t>
              </w:r>
            </w:hyperlink>
            <w:r>
              <w:t xml:space="preserve">,</w:t>
            </w:r>
            <w:r>
              <w:t xml:space="preserve"> </w:t>
            </w:r>
            <w:hyperlink r:id="rId46">
              <w:r>
                <w:rPr>
                  <w:rStyle w:val="Hyperlink"/>
                </w:rPr>
                <w:t xml:space="preserve">Carrie Wright</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Funder</w:t>
            </w:r>
          </w:p>
        </w:tc>
        <w:tc>
          <w:tcPr/>
          <w:p>
            <w:pPr>
              <w:pStyle w:val="Compact"/>
              <w:jc w:val="left"/>
            </w:pPr>
            <w:hyperlink r:id="rId49">
              <w:r>
                <w:rPr>
                  <w:rStyle w:val="Hyperlink"/>
                </w:rPr>
                <w:t xml:space="preserve">National Human Genome Research Institute (NHGRI)</w:t>
              </w:r>
            </w:hyperlink>
            <w:r>
              <w:t xml:space="preserve"> </w:t>
            </w:r>
            <w:r>
              <w:t xml:space="preserve">#5U24HG010263</w:t>
            </w:r>
          </w:p>
        </w:tc>
      </w:tr>
      <w:tr>
        <w:tc>
          <w:tcPr/>
          <w:p>
            <w:pPr>
              <w:pStyle w:val="Compact"/>
              <w:jc w:val="left"/>
            </w:pPr>
            <w:r>
              <w:t xml:space="preserve">Funding Staff</w:t>
            </w:r>
          </w:p>
        </w:tc>
        <w:tc>
          <w:tcPr/>
          <w:p>
            <w:pPr>
              <w:pStyle w:val="Compact"/>
              <w:jc w:val="left"/>
            </w:pPr>
            <w:r>
              <w:t xml:space="preserve">Fallon Bachman, Jennifer Vessio, Emily Voeglein</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2025-09-12</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0.43    2025-04-15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1.0.4   2025-06-18 [1] CRAN (R 4.3.2)</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1.50    2025-03-16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1.1.6   2025-04-11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0.52    2025-04-02 [1] CRAN (R 4.3.2)</w:t>
      </w:r>
      <w:r>
        <w:br/>
      </w:r>
      <w:r>
        <w:rPr>
          <w:rStyle w:val="VerbatimChar"/>
        </w:rPr>
        <w:t xml:space="preserve">##  xtable        1.8-4   2019-04-21 [1] RSPM (R 4.3.0)</w:t>
      </w:r>
      <w:r>
        <w:br/>
      </w:r>
      <w:r>
        <w:rPr>
          <w:rStyle w:val="VerbatimChar"/>
        </w:rPr>
        <w:t xml:space="preserve">##  yaml          2.3.10  2024-07-26 [1] CRAN (R 4.3.2)</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50"/>
    <w:bookmarkStart w:id="51" w:name="references"/>
    <w:p>
      <w:pPr>
        <w:pStyle w:val="Heading1"/>
      </w:pPr>
      <w:r>
        <w:rPr>
          <w:rStyle w:val="SectionNumber"/>
        </w:rPr>
        <w:t xml:space="preserve">2</w:t>
      </w:r>
      <w:r>
        <w:tab/>
      </w:r>
      <w:r>
        <w:t xml:space="preserve">References</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hyperlink" Id="rId40" Target="https://carnegiescience.edu/frederick-tan" TargetMode="External" /><Relationship Type="http://schemas.openxmlformats.org/officeDocument/2006/relationships/hyperlink" Id="rId46" Target="https://carriewright11.github.io/" TargetMode="External" /><Relationship Type="http://schemas.openxmlformats.org/officeDocument/2006/relationships/hyperlink" Id="rId35" Target="https://galaxyproject.org/jxtx/" TargetMode="External" /><Relationship Type="http://schemas.openxmlformats.org/officeDocument/2006/relationships/hyperlink" Id="rId36" Target="https://genomebiology.biomedcentral.com/articles/10.1186/s13059-020-02016-0" TargetMode="External" /><Relationship Type="http://schemas.openxmlformats.org/officeDocument/2006/relationships/hyperlink" Id="rId30" Target="https://github.com/jhudsl/AnVIL_Template/raw/main/student-guide/docs/Student_Guide.docx" TargetMode="External" /><Relationship Type="http://schemas.openxmlformats.org/officeDocument/2006/relationships/hyperlink" Id="rId34" Target="https://github.com/jhudsl/DaSL_Course_Template_Bookdown/wiki/How-to-give-credits" TargetMode="External" /><Relationship Type="http://schemas.openxmlformats.org/officeDocument/2006/relationships/hyperlink" Id="rId47" Target="https://github.com/jhudsl/ottrpal" TargetMode="External" /><Relationship Type="http://schemas.openxmlformats.org/officeDocument/2006/relationships/hyperlink" Id="rId48" Target="https://johnmuschelli.com/" TargetMode="External" /><Relationship Type="http://schemas.openxmlformats.org/officeDocument/2006/relationships/hyperlink" Id="rId42" Target="https://jtleek.com/" TargetMode="External" /><Relationship Type="http://schemas.openxmlformats.org/officeDocument/2006/relationships/hyperlink" Id="rId41" Target="https://publichealth.jhu.edu/faculty/1902/sarah-wheelan" TargetMode="External" /><Relationship Type="http://schemas.openxmlformats.org/officeDocument/2006/relationships/hyperlink" Id="rId44" Target="https://publichealth.jhu.edu/faculty/4130/ira-gooding" TargetMode="External" /><Relationship Type="http://schemas.openxmlformats.org/officeDocument/2006/relationships/hyperlink" Id="rId37" Target="https://publichealth.jhu.edu/faculty/4170/katherine-cox" TargetMode="External" /><Relationship Type="http://schemas.openxmlformats.org/officeDocument/2006/relationships/hyperlink" Id="rId38" Target="https://www.avahoffman.com/" TargetMode="External" /><Relationship Type="http://schemas.openxmlformats.org/officeDocument/2006/relationships/hyperlink" Id="rId45" Target="https://www.cansavvy.com/" TargetMode="External" /><Relationship Type="http://schemas.openxmlformats.org/officeDocument/2006/relationships/hyperlink" Id="rId49" Target="https://www.genome.gov/" TargetMode="External" /><Relationship Type="http://schemas.openxmlformats.org/officeDocument/2006/relationships/hyperlink" Id="rId39" Target="https://www.hopkinsmedicine.org/profiles/details/kai-kammers" TargetMode="External" /><Relationship Type="http://schemas.openxmlformats.org/officeDocument/2006/relationships/hyperlink" Id="rId43" Target="https://www.linkedin.com/in/allie-cliffe/" TargetMode="External" /></Relationships>
</file>

<file path=word/_rels/footnotes.xml.rels><?xml version="1.0" encoding="UTF-8"?><Relationships xmlns="http://schemas.openxmlformats.org/package/2006/relationships"><Relationship Type="http://schemas.openxmlformats.org/officeDocument/2006/relationships/hyperlink" Id="rId40" Target="https://carnegiescience.edu/frederick-tan" TargetMode="External" /><Relationship Type="http://schemas.openxmlformats.org/officeDocument/2006/relationships/hyperlink" Id="rId46" Target="https://carriewright11.github.io/" TargetMode="External" /><Relationship Type="http://schemas.openxmlformats.org/officeDocument/2006/relationships/hyperlink" Id="rId35" Target="https://galaxyproject.org/jxtx/" TargetMode="External" /><Relationship Type="http://schemas.openxmlformats.org/officeDocument/2006/relationships/hyperlink" Id="rId36" Target="https://genomebiology.biomedcentral.com/articles/10.1186/s13059-020-02016-0" TargetMode="External" /><Relationship Type="http://schemas.openxmlformats.org/officeDocument/2006/relationships/hyperlink" Id="rId30" Target="https://github.com/jhudsl/AnVIL_Template/raw/main/student-guide/docs/Student_Guide.docx" TargetMode="External" /><Relationship Type="http://schemas.openxmlformats.org/officeDocument/2006/relationships/hyperlink" Id="rId34" Target="https://github.com/jhudsl/DaSL_Course_Template_Bookdown/wiki/How-to-give-credits" TargetMode="External" /><Relationship Type="http://schemas.openxmlformats.org/officeDocument/2006/relationships/hyperlink" Id="rId47" Target="https://github.com/jhudsl/ottrpal" TargetMode="External" /><Relationship Type="http://schemas.openxmlformats.org/officeDocument/2006/relationships/hyperlink" Id="rId48" Target="https://johnmuschelli.com/" TargetMode="External" /><Relationship Type="http://schemas.openxmlformats.org/officeDocument/2006/relationships/hyperlink" Id="rId42" Target="https://jtleek.com/" TargetMode="External" /><Relationship Type="http://schemas.openxmlformats.org/officeDocument/2006/relationships/hyperlink" Id="rId41" Target="https://publichealth.jhu.edu/faculty/1902/sarah-wheelan" TargetMode="External" /><Relationship Type="http://schemas.openxmlformats.org/officeDocument/2006/relationships/hyperlink" Id="rId44" Target="https://publichealth.jhu.edu/faculty/4130/ira-gooding" TargetMode="External" /><Relationship Type="http://schemas.openxmlformats.org/officeDocument/2006/relationships/hyperlink" Id="rId37" Target="https://publichealth.jhu.edu/faculty/4170/katherine-cox" TargetMode="External" /><Relationship Type="http://schemas.openxmlformats.org/officeDocument/2006/relationships/hyperlink" Id="rId38" Target="https://www.avahoffman.com/" TargetMode="External" /><Relationship Type="http://schemas.openxmlformats.org/officeDocument/2006/relationships/hyperlink" Id="rId45" Target="https://www.cansavvy.com/" TargetMode="External" /><Relationship Type="http://schemas.openxmlformats.org/officeDocument/2006/relationships/hyperlink" Id="rId49" Target="https://www.genome.gov/" TargetMode="External" /><Relationship Type="http://schemas.openxmlformats.org/officeDocument/2006/relationships/hyperlink" Id="rId39" Target="https://www.hopkinsmedicine.org/profiles/details/kai-kammers" TargetMode="External" /><Relationship Type="http://schemas.openxmlformats.org/officeDocument/2006/relationships/hyperlink" Id="rId43" Target="https://www.linkedin.com/in/allie-cliff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on AnVIL</dc:title>
  <dc:creator/>
  <dc:description>Guides to help new AnVIL users set up their accounts and start doing research on the AnVIL platform</dc:description>
  <cp:keywords/>
  <dcterms:created xsi:type="dcterms:W3CDTF">2025-09-12T20:10:58Z</dcterms:created>
  <dcterms:modified xsi:type="dcterms:W3CDTF">2025-09-12T20:10:58Z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September 12, 2025</vt:lpwstr>
  </property>
  <property fmtid="{D5CDD505-2E9C-101B-9397-08002B2CF9AE}" pid="6" name="documentclass">
    <vt:lpwstr>book</vt:lpwstr>
  </property>
  <property fmtid="{D5CDD505-2E9C-101B-9397-08002B2CF9AE}" pid="7" name="favicon">
    <vt:lpwstr>assets/AnVIL_style/anvil_favicon.ico</vt:lpwstr>
  </property>
  <property fmtid="{D5CDD505-2E9C-101B-9397-08002B2CF9AE}" pid="8" name="link-citations">
    <vt:lpwstr>True</vt:lpwstr>
  </property>
  <property fmtid="{D5CDD505-2E9C-101B-9397-08002B2CF9AE}" pid="9" name="site">
    <vt:lpwstr>bookdown::bookdown_site</vt:lpwstr>
  </property>
</Properties>
</file>