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2.png" ContentType="image/png"/>
  <Override PartName="/word/media/rId63.png" ContentType="image/png"/>
  <Override PartName="/word/media/rId65.png" ContentType="image/png"/>
  <Override PartName="/word/media/rId68.png" ContentType="image/png"/>
  <Override PartName="/word/media/rId71.png" ContentType="image/png"/>
  <Override PartName="/word/media/rId72.png" ContentType="image/png"/>
  <Override PartName="/word/media/rId74.png" ContentType="image/png"/>
  <Override PartName="/word/media/rId73.png" ContentType="image/png"/>
  <Override PartName="/word/media/rId80.png" ContentType="image/png"/>
  <Override PartName="/word/media/rId101.png" ContentType="image/png"/>
  <Override PartName="/word/media/rId82.png" ContentType="image/png"/>
  <Override PartName="/word/media/rId102.png" ContentType="image/png"/>
  <Override PartName="/word/media/rId104.png" ContentType="image/png"/>
  <Override PartName="/word/media/rId105.png" ContentType="image/png"/>
  <Override PartName="/word/media/rId106.png" ContentType="image/png"/>
  <Override PartName="/word/media/rId84.png" ContentType="image/png"/>
  <Override PartName="/word/media/rId85.png" ContentType="image/png"/>
  <Override PartName="/word/media/rId89.png" ContentType="image/png"/>
  <Override PartName="/word/media/rId90.png" ContentType="image/png"/>
  <Override PartName="/word/media/rId91.png" ContentType="image/png"/>
  <Override PartName="/word/media/rId81.png" ContentType="image/png"/>
  <Override PartName="/word/media/rId93.png" ContentType="image/png"/>
  <Override PartName="/word/media/rId95.png" ContentType="image/png"/>
  <Override PartName="/word/media/rId96.png" ContentType="image/png"/>
  <Override PartName="/word/media/rId97.png" ContentType="image/png"/>
  <Override PartName="/word/media/rId98.png" ContentType="image/png"/>
  <Override PartName="/word/media/rId100.png" ContentType="image/png"/>
  <Override PartName="/word/media/rId78.png" ContentType="image/png"/>
  <Override PartName="/word/media/rId76.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March</w:t>
      </w:r>
      <w:r>
        <w:t xml:space="preserve"> </w:t>
      </w:r>
      <w:r>
        <w:t xml:space="preserve">22,</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Galaxy activity on AnVIL, focused on SARS-CoV-2 variant detection.</w:t>
      </w:r>
    </w:p>
    <w:p>
      <w:pPr>
        <w:pStyle w:val="BodyText"/>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0">
        <w:r>
          <w:rPr>
            <w:rStyle w:val="Hyperlink"/>
          </w:rPr>
          <w:t xml:space="preserve">AnVIL</w:t>
        </w:r>
      </w:hyperlink>
      <w:r>
        <w:t xml:space="preserve"> </w:t>
      </w:r>
      <w:r>
        <w:t xml:space="preserve">cloud computing resource to check data, perform an alignment, and visualize their results.</w:t>
      </w:r>
    </w:p>
    <w:p>
      <w:pPr>
        <w:pStyle w:val="BodyText"/>
      </w:pPr>
    </w:p>
    <w:p>
      <w:pPr>
        <w:pStyle w:val="BodyText"/>
      </w:pP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Gather and evaluate experimental evidence, including qualitative and quantitative data</w:t>
      </w:r>
    </w:p>
    <w:p>
      <w:pPr>
        <w:numPr>
          <w:ilvl w:val="0"/>
          <w:numId w:val="1001"/>
        </w:numPr>
        <w:pStyle w:val="Compact"/>
      </w:pPr>
      <w:r>
        <w:t xml:space="preserve">Generate and interpret graphs displaying experimental results</w:t>
      </w:r>
    </w:p>
    <w:p>
      <w:pPr>
        <w:numPr>
          <w:ilvl w:val="0"/>
          <w:numId w:val="1001"/>
        </w:numPr>
        <w:pStyle w:val="Compact"/>
      </w:pPr>
      <w:r>
        <w:t xml:space="preserve">Critique large data sets and 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44"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numPr>
          <w:ilvl w:val="0"/>
          <w:numId w:val="1006"/>
        </w:numPr>
        <w:pStyle w:val="Compact"/>
      </w:pPr>
      <w:r>
        <w:t xml:space="preserve">20-30 minute pre-lab lecture</w:t>
      </w:r>
    </w:p>
    <w:p>
      <w:pPr>
        <w:numPr>
          <w:ilvl w:val="0"/>
          <w:numId w:val="1006"/>
        </w:numPr>
        <w:pStyle w:val="Compact"/>
      </w:pPr>
      <w:r>
        <w:t xml:space="preserve">3 hour lab for undergraduate students</w:t>
      </w:r>
    </w:p>
    <w:p>
      <w:pPr>
        <w:numPr>
          <w:ilvl w:val="0"/>
          <w:numId w:val="1006"/>
        </w:numPr>
        <w:pStyle w:val="Compact"/>
      </w:pPr>
      <w:r>
        <w:t xml:space="preserve">1 hour lab for graduate students</w:t>
      </w:r>
    </w:p>
    <w:p>
      <w:pPr>
        <w:numPr>
          <w:ilvl w:val="0"/>
          <w:numId w:val="1006"/>
        </w:numPr>
        <w:pStyle w:val="Compact"/>
      </w:pPr>
      <w:r>
        <w:t xml:space="preserve">Additional short lecture modules</w:t>
      </w:r>
    </w:p>
    <w:p>
      <w:pPr>
        <w:pStyle w:val="FirstParagraph"/>
      </w:pPr>
      <w:r>
        <w:rPr>
          <w:bCs/>
          <w:b/>
        </w:rPr>
        <w:t xml:space="preserve">Assessment Type</w:t>
      </w:r>
    </w:p>
    <w:p>
      <w:pPr>
        <w:numPr>
          <w:ilvl w:val="0"/>
          <w:numId w:val="1007"/>
        </w:numPr>
        <w:pStyle w:val="Compact"/>
      </w:pPr>
      <w:r>
        <w:t xml:space="preserve">Short answer questions at each lab stage</w:t>
      </w:r>
    </w:p>
    <w:bookmarkEnd w:id="29"/>
    <w:bookmarkStart w:id="38" w:name="lesson-plan"/>
    <w:p>
      <w:pPr>
        <w:pStyle w:val="Heading2"/>
      </w:pP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hyperlink r:id="rId30">
              <w:r>
                <w:rPr>
                  <w:rStyle w:val="Hyperlink"/>
                </w:rPr>
                <w:t xml:space="preserve">Logging into AnVIL</w:t>
              </w:r>
            </w:hyperlink>
            <w:r>
              <w:t xml:space="preserve">,</w:t>
            </w:r>
            <w:r>
              <w:t xml:space="preserve"> </w:t>
            </w:r>
            <w:hyperlink r:id="rId31">
              <w:r>
                <w:rPr>
                  <w:rStyle w:val="Hyperlink"/>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32">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3">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4">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5">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6">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7">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38"/>
    <w:bookmarkStart w:id="41" w:name="notes-for-instructors"/>
    <w:p>
      <w:pPr>
        <w:pStyle w:val="Heading2"/>
      </w:pPr>
      <w:r>
        <w:t xml:space="preserve">Notes for Instructors</w:t>
      </w:r>
    </w:p>
    <w:p>
      <w:pPr>
        <w:pStyle w:val="FirstParagraph"/>
      </w:pPr>
      <w:r>
        <w:t xml:space="preserve">Depending on your needs, you might decide to run this Galaxy activity on a different cloud provider, such as the original</w:t>
      </w:r>
      <w:r>
        <w:t xml:space="preserve"> </w:t>
      </w:r>
      <w:hyperlink r:id="rId39">
        <w:r>
          <w:rPr>
            <w:rStyle w:val="Hyperlink"/>
          </w:rPr>
          <w:t xml:space="preserve">usegalaxy.org</w:t>
        </w:r>
      </w:hyperlink>
      <w:r>
        <w:t xml:space="preserve">. More information about Galaxy is available at</w:t>
      </w:r>
      <w:r>
        <w:t xml:space="preserve"> </w:t>
      </w:r>
      <w:hyperlink r:id="rId40">
        <w:r>
          <w:rPr>
            <w:rStyle w:val="Hyperlink"/>
          </w:rPr>
          <w:t xml:space="preserve">training.galaxyproject.org</w:t>
        </w:r>
      </w:hyperlink>
      <w:r>
        <w:t xml:space="preserve">.</w:t>
      </w:r>
    </w:p>
    <w:p>
      <w:pPr>
        <w:pStyle w:val="BodyText"/>
      </w:pPr>
      <w:r>
        <w:t xml:space="preserve">We estimate a cost of roughly $2.00 per student to run this activity on AnVIL.</w:t>
      </w:r>
    </w:p>
    <w:bookmarkEnd w:id="41"/>
    <w:bookmarkStart w:id="43"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You can</w:t>
      </w:r>
      <w:r>
        <w:t xml:space="preserve"> </w:t>
      </w:r>
      <w:hyperlink r:id="rId42">
        <w:r>
          <w:rPr>
            <w:rStyle w:val="Hyperlink"/>
          </w:rPr>
          <w:t xml:space="preserve">request a letter here</w:t>
        </w:r>
      </w:hyperlink>
      <w:r>
        <w:t xml:space="preserve">.</w:t>
      </w:r>
    </w:p>
    <w:bookmarkEnd w:id="43"/>
    <w:bookmarkEnd w:id="44"/>
    <w:bookmarkStart w:id="46"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45">
        <w:r>
          <w:rPr>
            <w:rStyle w:val="Hyperlink"/>
          </w:rPr>
          <w:t xml:space="preserve">here</w:t>
        </w:r>
      </w:hyperlink>
      <w:r>
        <w:t xml:space="preserve">.</w:t>
      </w:r>
    </w:p>
    <w:bookmarkEnd w:id="46"/>
    <w:bookmarkStart w:id="48"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47">
        <w:r>
          <w:rPr>
            <w:rStyle w:val="Hyperlink"/>
          </w:rPr>
          <w:t xml:space="preserve">here</w:t>
        </w:r>
      </w:hyperlink>
      <w:r>
        <w:t xml:space="preserve">.</w:t>
      </w:r>
    </w:p>
    <w:bookmarkEnd w:id="48"/>
    <w:bookmarkStart w:id="50" w:name="alignments"/>
    <w:p>
      <w:pPr>
        <w:pStyle w:val="Heading1"/>
      </w:pPr>
      <w:r>
        <w:rPr>
          <w:rStyle w:val="SectionNumber"/>
        </w:rPr>
        <w:t xml:space="preserve">3</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9">
        <w:r>
          <w:rPr>
            <w:rStyle w:val="Hyperlink"/>
          </w:rPr>
          <w:t xml:space="preserve">here</w:t>
        </w:r>
      </w:hyperlink>
      <w:r>
        <w:t xml:space="preserve">.</w:t>
      </w:r>
    </w:p>
    <w:bookmarkEnd w:id="50"/>
    <w:bookmarkStart w:id="52" w:name="cloud-computing"/>
    <w:p>
      <w:pPr>
        <w:pStyle w:val="Heading1"/>
      </w:pPr>
      <w:r>
        <w:rPr>
          <w:rStyle w:val="SectionNumber"/>
        </w:rPr>
        <w:t xml:space="preserve">4</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51">
        <w:r>
          <w:rPr>
            <w:rStyle w:val="Hyperlink"/>
          </w:rPr>
          <w:t xml:space="preserve">here</w:t>
        </w:r>
      </w:hyperlink>
      <w:r>
        <w:t xml:space="preserve">.</w:t>
      </w:r>
    </w:p>
    <w:bookmarkEnd w:id="52"/>
    <w:bookmarkStart w:id="54" w:name="overview-video"/>
    <w:p>
      <w:pPr>
        <w:pStyle w:val="Heading1"/>
      </w:pPr>
      <w:r>
        <w:rPr>
          <w:rStyle w:val="SectionNumber"/>
        </w:rPr>
        <w:t xml:space="preserve">5</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53">
        <w:r>
          <w:rPr>
            <w:rStyle w:val="Hyperlink"/>
          </w:rPr>
          <w:t xml:space="preserve">here</w:t>
        </w:r>
      </w:hyperlink>
      <w:r>
        <w:t xml:space="preserve">.</w:t>
      </w:r>
    </w:p>
    <w:bookmarkEnd w:id="54"/>
    <w:bookmarkStart w:id="108" w:name="student-activity-guide"/>
    <w:p>
      <w:pPr>
        <w:pStyle w:val="Heading1"/>
      </w:pPr>
      <w:r>
        <w:rPr>
          <w:rStyle w:val="SectionNumber"/>
        </w:rPr>
        <w:t xml:space="preserve">6</w:t>
      </w:r>
      <w:r>
        <w:tab/>
      </w:r>
      <w:r>
        <w:t xml:space="preserve">Student Activity Guide</w:t>
      </w:r>
    </w:p>
    <w:p>
      <w:pPr>
        <w:pStyle w:val="FirstParagraph"/>
      </w:pPr>
      <w:r>
        <w:t xml:space="preserve">This chapter contains the student instructions for the SARS-CoV-2 Variant Detection with Galaxy activity.</w:t>
      </w:r>
    </w:p>
    <w:bookmarkStart w:id="58" w:name="introduction"/>
    <w:p>
      <w:pPr>
        <w:pStyle w:val="Heading2"/>
      </w:pPr>
      <w:r>
        <w:rPr>
          <w:rStyle w:val="SectionNumber"/>
        </w:rPr>
        <w:t xml:space="preserve">6.1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56" w:name="before-you-start"/>
    <w:p>
      <w:pPr>
        <w:pStyle w:val="Heading3"/>
      </w:pPr>
      <w:r>
        <w:rPr>
          <w:rStyle w:val="SectionNumber"/>
        </w:rPr>
        <w:t xml:space="preserve">6.1.1</w:t>
      </w:r>
      <w:r>
        <w:tab/>
      </w:r>
      <w:r>
        <w:t xml:space="preserve">Before You Start</w:t>
      </w:r>
    </w:p>
    <w:p>
      <w:pPr>
        <w:pStyle w:val="FirstParagraph"/>
      </w:pPr>
      <w:r>
        <w:t xml:space="preserve">Make sure you have an AnVIL account (refer to</w:t>
      </w:r>
      <w:r>
        <w:t xml:space="preserve"> </w:t>
      </w:r>
      <w:hyperlink r:id="rId55">
        <w:r>
          <w:rPr>
            <w:rStyle w:val="Hyperlink"/>
          </w:rPr>
          <w:t xml:space="preserve">https://jhudatascience.org/AnVIL_Book_Instructor_Guide/student-account-setup.html</w:t>
        </w:r>
      </w:hyperlink>
      <w:r>
        <w:t xml:space="preserve">)</w:t>
      </w:r>
    </w:p>
    <w:bookmarkEnd w:id="56"/>
    <w:bookmarkStart w:id="57" w:name="objectives"/>
    <w:p>
      <w:pPr>
        <w:pStyle w:val="Heading3"/>
      </w:pPr>
      <w:r>
        <w:rPr>
          <w:rStyle w:val="SectionNumber"/>
        </w:rPr>
        <w:t xml:space="preserve">6.1.2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57"/>
    <w:bookmarkEnd w:id="58"/>
    <w:bookmarkStart w:id="70" w:name="getting-started"/>
    <w:p>
      <w:pPr>
        <w:pStyle w:val="Heading2"/>
      </w:pPr>
      <w:r>
        <w:rPr>
          <w:rStyle w:val="SectionNumber"/>
        </w:rPr>
        <w:t xml:space="preserve">6.2</w:t>
      </w:r>
      <w:r>
        <w:tab/>
      </w:r>
      <w:r>
        <w:t xml:space="preserve">Getting Started</w:t>
      </w:r>
    </w:p>
    <w:bookmarkStart w:id="64" w:name="set-up"/>
    <w:p>
      <w:pPr>
        <w:pStyle w:val="Heading3"/>
      </w:pPr>
      <w:r>
        <w:rPr>
          <w:rStyle w:val="SectionNumber"/>
        </w:rPr>
        <w:t xml:space="preserve">6.2.1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59">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61"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60"/>
                    <a:stretch>
                      <a:fillRect/>
                    </a:stretch>
                  </pic:blipFill>
                  <pic:spPr bwMode="auto">
                    <a:xfrm>
                      <a:off x="0" y="0"/>
                      <a:ext cx="238125" cy="190500"/>
                    </a:xfrm>
                    <a:prstGeom prst="rect">
                      <a:avLst/>
                    </a:prstGeom>
                    <a:noFill/>
                    <a:ln w="9525">
                      <a:noFill/>
                      <a:headEnd/>
                      <a:tailEnd/>
                    </a:ln>
                  </pic:spPr>
                </pic:pic>
              </a:graphicData>
            </a:graphic>
          </wp:inline>
        </w:drawing>
      </w:r>
      <w:bookmarkEnd w:id="61"/>
      <w:r>
        <w:t xml:space="preserve">). And selecting</w:t>
      </w:r>
      <w:r>
        <w:t xml:space="preserve"> </w:t>
      </w:r>
      <w:r>
        <w:t xml:space="preserve">“</w:t>
      </w:r>
      <w:r>
        <w:t xml:space="preserve">Clone</w:t>
      </w:r>
      <w:r>
        <w:t xml:space="preserve">”</w:t>
      </w:r>
      <w:r>
        <w:t xml:space="preserve">.</w:t>
      </w:r>
    </w:p>
    <w:p>
      <w:pPr>
        <w:pStyle w:val="SourceCode"/>
      </w:pPr>
      <w:r>
        <w:rPr>
          <w:rStyle w:val="VerbatimChar"/>
        </w:rPr>
        <w:t xml:space="preserve">## Warning: replacing previous import 'ellipsis::check_dots_unnamed' by</w:t>
      </w:r>
      <w:r>
        <w:br/>
      </w:r>
      <w:r>
        <w:rPr>
          <w:rStyle w:val="VerbatimChar"/>
        </w:rPr>
        <w:t xml:space="preserve">## 'rlang::check_dots_unnamed' when loading 'tibble'</w:t>
      </w:r>
    </w:p>
    <w:p>
      <w:pPr>
        <w:pStyle w:val="SourceCode"/>
      </w:pPr>
      <w:r>
        <w:rPr>
          <w:rStyle w:val="VerbatimChar"/>
        </w:rPr>
        <w:t xml:space="preserve">## Warning: replacing previous import 'ellipsis::check_dots_used' by</w:t>
      </w:r>
      <w:r>
        <w:br/>
      </w:r>
      <w:r>
        <w:rPr>
          <w:rStyle w:val="VerbatimChar"/>
        </w:rPr>
        <w:t xml:space="preserve">## 'rlang::check_dots_used' when loading 'tibble'</w:t>
      </w:r>
    </w:p>
    <w:p>
      <w:pPr>
        <w:pStyle w:val="SourceCode"/>
      </w:pPr>
      <w:r>
        <w:rPr>
          <w:rStyle w:val="VerbatimChar"/>
        </w:rPr>
        <w:t xml:space="preserve">## Warning: replacing previous import 'ellipsis::check_dots_empty' by</w:t>
      </w:r>
      <w:r>
        <w:br/>
      </w:r>
      <w:r>
        <w:rPr>
          <w:rStyle w:val="VerbatimChar"/>
        </w:rPr>
        <w:t xml:space="preserve">## 'rlang::check_dots_empty' when loading 'tibble'</w:t>
      </w:r>
    </w:p>
    <w:p>
      <w:pPr>
        <w:pStyle w:val="SourceCode"/>
      </w:pPr>
      <w:r>
        <w:rPr>
          <w:rStyle w:val="VerbatimChar"/>
        </w:rPr>
        <w:t xml:space="preserve">## Warning: replacing previous import 'ellipsis::check_dots_unnamed' by</w:t>
      </w:r>
      <w:r>
        <w:br/>
      </w:r>
      <w:r>
        <w:rPr>
          <w:rStyle w:val="VerbatimChar"/>
        </w:rPr>
        <w:t xml:space="preserve">## 'rlang::check_dots_unnamed' when loading 'pillar'</w:t>
      </w:r>
    </w:p>
    <w:p>
      <w:pPr>
        <w:pStyle w:val="SourceCode"/>
      </w:pPr>
      <w:r>
        <w:rPr>
          <w:rStyle w:val="VerbatimChar"/>
        </w:rPr>
        <w:t xml:space="preserve">## Warning: replacing previous import 'ellipsis::check_dots_used' by</w:t>
      </w:r>
      <w:r>
        <w:br/>
      </w:r>
      <w:r>
        <w:rPr>
          <w:rStyle w:val="VerbatimChar"/>
        </w:rPr>
        <w:t xml:space="preserve">## 'rlang::check_dots_used' when loading 'pillar'</w:t>
      </w:r>
    </w:p>
    <w:p>
      <w:pPr>
        <w:pStyle w:val="SourceCode"/>
      </w:pPr>
      <w:r>
        <w:rPr>
          <w:rStyle w:val="VerbatimChar"/>
        </w:rPr>
        <w:t xml:space="preserve">## Warning: replacing previous import 'ellipsis::check_dots_empty' by</w:t>
      </w:r>
      <w:r>
        <w:br/>
      </w:r>
      <w:r>
        <w:rPr>
          <w:rStyle w:val="VerbatimChar"/>
        </w:rPr>
        <w:t xml:space="preserve">## 'rlang::check_dots_empty' when loading 'pillar'</w:t>
      </w:r>
    </w:p>
    <w:p>
      <w:pPr>
        <w:pStyle w:val="FirstParagraph"/>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25.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48.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bookmarkEnd w:id="64"/>
    <w:bookmarkStart w:id="67" w:name="starting-galaxy"/>
    <w:p>
      <w:pPr>
        <w:pStyle w:val="Heading3"/>
      </w:pPr>
      <w:r>
        <w:rPr>
          <w:rStyle w:val="SectionNumber"/>
        </w:rPr>
        <w:t xml:space="preserve">6.2.2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788.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66">
        <w:r>
          <w:rPr>
            <w:rStyle w:val="Hyperlink"/>
          </w:rPr>
          <w:t xml:space="preserve">this video</w:t>
        </w:r>
      </w:hyperlink>
      <w:r>
        <w:t xml:space="preserve"> </w:t>
      </w:r>
      <w:r>
        <w:t xml:space="preserve">to start Galaxy on AnVIL.</w:t>
      </w:r>
    </w:p>
    <w:bookmarkEnd w:id="67"/>
    <w:bookmarkStart w:id="69" w:name="navigating-galaxy"/>
    <w:p>
      <w:pPr>
        <w:pStyle w:val="Heading3"/>
      </w:pPr>
      <w:r>
        <w:rPr>
          <w:rStyle w:val="SectionNumber"/>
        </w:rPr>
        <w:t xml:space="preserve">6.2.3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16.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69"/>
    <w:bookmarkEnd w:id="70"/>
    <w:bookmarkStart w:id="75" w:name="importing-data"/>
    <w:p>
      <w:pPr>
        <w:pStyle w:val="Heading2"/>
      </w:pPr>
      <w:r>
        <w:rPr>
          <w:rStyle w:val="SectionNumber"/>
        </w:rPr>
        <w:t xml:space="preserve">6.3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30.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49.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f82e74360_0_13.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6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bookmarkEnd w:id="75"/>
    <w:bookmarkStart w:id="88" w:name="examining-fastq"/>
    <w:p>
      <w:pPr>
        <w:pStyle w:val="Heading2"/>
      </w:pPr>
      <w:r>
        <w:rPr>
          <w:rStyle w:val="SectionNumber"/>
        </w:rPr>
        <w:t xml:space="preserve">6.4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79" w:name="examining-inputs"/>
    <w:p>
      <w:pPr>
        <w:pStyle w:val="Heading3"/>
      </w:pPr>
      <w:r>
        <w:rPr>
          <w:rStyle w:val="SectionNumber"/>
        </w:rPr>
        <w:t xml:space="preserve">6.4.1</w:t>
      </w:r>
      <w:r>
        <w:tab/>
      </w:r>
      <w:r>
        <w:t xml:space="preserve">Examining Inputs</w:t>
      </w:r>
    </w:p>
    <w:p>
      <w:pPr>
        <w:pStyle w:val="FirstParagraph"/>
      </w:pPr>
      <w:r>
        <w:t xml:space="preserve">Use your mouse and click on the eye icon (</w:t>
      </w:r>
      <w:bookmarkStart w:id="77"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77"/>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41.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79"/>
    <w:bookmarkStart w:id="87" w:name="quality-scoring"/>
    <w:p>
      <w:pPr>
        <w:pStyle w:val="Heading3"/>
      </w:pPr>
      <w:r>
        <w:rPr>
          <w:rStyle w:val="SectionNumber"/>
        </w:rPr>
        <w:t xml:space="preserve">6.4.2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0.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83"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83"/>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8.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23.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86">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87"/>
    <w:bookmarkEnd w:id="88"/>
    <w:bookmarkStart w:id="92" w:name="alignment"/>
    <w:p>
      <w:pPr>
        <w:pStyle w:val="Heading2"/>
      </w:pPr>
      <w:r>
        <w:rPr>
          <w:rStyle w:val="SectionNumber"/>
        </w:rPr>
        <w:t xml:space="preserve">6.5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33.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41.png" id="0" name="Picture"/>
                    <pic:cNvPicPr>
                      <a:picLocks noChangeArrowheads="1" noChangeAspect="1"/>
                    </pic:cNvPicPr>
                  </pic:nvPicPr>
                  <pic:blipFill>
                    <a:blip r:embed="rId9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50.png" id="0" name="Picture"/>
                    <pic:cNvPicPr>
                      <a:picLocks noChangeArrowheads="1" noChangeAspect="1"/>
                    </pic:cNvPicPr>
                  </pic:nvPicPr>
                  <pic:blipFill>
                    <a:blip r:embed="rId9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92"/>
    <w:bookmarkStart w:id="103" w:name="view-alignment"/>
    <w:p>
      <w:pPr>
        <w:pStyle w:val="Heading2"/>
      </w:pPr>
      <w:r>
        <w:rPr>
          <w:rStyle w:val="SectionNumber"/>
        </w:rPr>
        <w:t xml:space="preserve">6.6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1.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94"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94"/>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72.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83.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2.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9.png" id="0" name="Picture"/>
                    <pic:cNvPicPr>
                      <a:picLocks noChangeArrowheads="1" noChangeAspect="1"/>
                    </pic:cNvPicPr>
                  </pic:nvPicPr>
                  <pic:blipFill>
                    <a:blip r:embed="rId9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9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99"/>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20.png" id="0" name="Picture"/>
                    <pic:cNvPicPr>
                      <a:picLocks noChangeArrowheads="1" noChangeAspect="1"/>
                    </pic:cNvPicPr>
                  </pic:nvPicPr>
                  <pic:blipFill>
                    <a:blip r:embed="rId10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09.png" id="0"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7.png" id="0" name="Picture"/>
                    <pic:cNvPicPr>
                      <a:picLocks noChangeArrowheads="1" noChangeAspect="1"/>
                    </pic:cNvPicPr>
                  </pic:nvPicPr>
                  <pic:blipFill>
                    <a:blip r:embed="rId102"/>
                    <a:stretch>
                      <a:fillRect/>
                    </a:stretch>
                  </pic:blipFill>
                  <pic:spPr bwMode="auto">
                    <a:xfrm>
                      <a:off x="0" y="0"/>
                      <a:ext cx="5943600" cy="3343275"/>
                    </a:xfrm>
                    <a:prstGeom prst="rect">
                      <a:avLst/>
                    </a:prstGeom>
                    <a:noFill/>
                    <a:ln w="9525">
                      <a:noFill/>
                      <a:headEnd/>
                      <a:tailEnd/>
                    </a:ln>
                  </pic:spPr>
                </pic:pic>
              </a:graphicData>
            </a:graphic>
          </wp:inline>
        </w:drawing>
      </w:r>
    </w:p>
    <w:bookmarkEnd w:id="103"/>
    <w:bookmarkStart w:id="107" w:name="wrap-up"/>
    <w:p>
      <w:pPr>
        <w:pStyle w:val="Heading2"/>
      </w:pPr>
      <w:r>
        <w:rPr>
          <w:rStyle w:val="SectionNumber"/>
        </w:rPr>
        <w:t xml:space="preserve">6.7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34.png" id="0"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0.png" id="0" name="Picture"/>
                    <pic:cNvPicPr>
                      <a:picLocks noChangeArrowheads="1" noChangeAspect="1"/>
                    </pic:cNvPicPr>
                  </pic:nvPicPr>
                  <pic:blipFill>
                    <a:blip r:embed="rId10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6.png" id="0" name="Picture"/>
                    <pic:cNvPicPr>
                      <a:picLocks noChangeArrowheads="1" noChangeAspect="1"/>
                    </pic:cNvPicPr>
                  </pic:nvPicPr>
                  <pic:blipFill>
                    <a:blip r:embed="rId106"/>
                    <a:stretch>
                      <a:fillRect/>
                    </a:stretch>
                  </pic:blipFill>
                  <pic:spPr bwMode="auto">
                    <a:xfrm>
                      <a:off x="0" y="0"/>
                      <a:ext cx="5943600" cy="3343275"/>
                    </a:xfrm>
                    <a:prstGeom prst="rect">
                      <a:avLst/>
                    </a:prstGeom>
                    <a:noFill/>
                    <a:ln w="9525">
                      <a:noFill/>
                      <a:headEnd/>
                      <a:tailEnd/>
                    </a:ln>
                  </pic:spPr>
                </pic:pic>
              </a:graphicData>
            </a:graphic>
          </wp:inline>
        </w:drawing>
      </w:r>
    </w:p>
    <w:bookmarkEnd w:id="107"/>
    <w:bookmarkEnd w:id="108"/>
    <w:bookmarkStart w:id="109" w:name="appendix"/>
    <w:p>
      <w:pPr>
        <w:pStyle w:val="Heading1"/>
      </w:pPr>
      <w:r>
        <w:t xml:space="preserve">Appendix</w:t>
      </w:r>
    </w:p>
    <w:bookmarkEnd w:id="109"/>
    <w:bookmarkStart w:id="111" w:name="answer-key"/>
    <w:p>
      <w:pPr>
        <w:pStyle w:val="Heading1"/>
      </w:pPr>
      <w:r>
        <w:t xml:space="preserve">Answer Key</w:t>
      </w:r>
    </w:p>
    <w:p>
      <w:pPr>
        <w:pStyle w:val="FirstParagraph"/>
      </w:pPr>
      <w:r>
        <w:t xml:space="preserve">Please use the</w:t>
      </w:r>
      <w:r>
        <w:t xml:space="preserve"> </w:t>
      </w:r>
      <w:hyperlink r:id="rId110">
        <w:r>
          <w:rPr>
            <w:rStyle w:val="Hyperlink"/>
          </w:rPr>
          <w:t xml:space="preserve">GDSCN: Request an Answer Key form</w:t>
        </w:r>
      </w:hyperlink>
      <w:r>
        <w:t xml:space="preserve"> </w:t>
      </w:r>
      <w:r>
        <w:t xml:space="preserve">to request an answer key for this activity.</w:t>
      </w:r>
    </w:p>
    <w:bookmarkEnd w:id="111"/>
    <w:bookmarkStart w:id="113" w:name="download"/>
    <w:p>
      <w:pPr>
        <w:pStyle w:val="Heading1"/>
      </w:pP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12">
        <w:r>
          <w:rPr>
            <w:rStyle w:val="Hyperlink"/>
          </w:rPr>
          <w:t xml:space="preserve">here</w:t>
        </w:r>
      </w:hyperlink>
      <w:r>
        <w:t xml:space="preserve">. If you do so, please remember to check back here for updates!</w:t>
      </w:r>
    </w:p>
    <w:bookmarkEnd w:id="113"/>
    <w:bookmarkStart w:id="117" w:name="help"/>
    <w:p>
      <w:pPr>
        <w:pStyle w:val="Heading1"/>
      </w:pPr>
      <w:r>
        <w:t xml:space="preserve">Help</w:t>
      </w:r>
    </w:p>
    <w:p>
      <w:pPr>
        <w:pStyle w:val="FirstParagraph"/>
      </w:pPr>
      <w:r>
        <w:t xml:space="preserve">We welcome any and all questions at our</w:t>
      </w:r>
      <w:r>
        <w:t xml:space="preserve"> </w:t>
      </w:r>
      <w:hyperlink r:id="rId114">
        <w:r>
          <w:rPr>
            <w:rStyle w:val="Hyperlink"/>
          </w:rPr>
          <w:t xml:space="preserve">Discourse Channel</w:t>
        </w:r>
      </w:hyperlink>
      <w:r>
        <w:t xml:space="preserve">.</w:t>
      </w:r>
    </w:p>
    <w:p>
      <w:pPr>
        <w:pStyle w:val="BodyText"/>
      </w:pPr>
      <w:r>
        <w:t xml:space="preserve">If you have feedback on the activity (Found a typo? Have a suggestion or idea?) please submit a response on our</w:t>
      </w:r>
      <w:r>
        <w:t xml:space="preserve"> </w:t>
      </w:r>
      <w:hyperlink r:id="rId115">
        <w:r>
          <w:rPr>
            <w:rStyle w:val="Hyperlink"/>
          </w:rPr>
          <w:t xml:space="preserve">feedback form</w:t>
        </w:r>
      </w:hyperlink>
      <w:r>
        <w:t xml:space="preserve">.</w:t>
      </w:r>
    </w:p>
    <w:p>
      <w:pPr>
        <w:pStyle w:val="BodyText"/>
      </w:pPr>
      <w:r>
        <w:t xml:space="preserve">You can also</w:t>
      </w:r>
      <w:r>
        <w:t xml:space="preserve"> </w:t>
      </w:r>
      <w:hyperlink r:id="rId116">
        <w:r>
          <w:rPr>
            <w:rStyle w:val="Hyperlink"/>
          </w:rPr>
          <w:t xml:space="preserve">submit an issue on our GitHub repository</w:t>
        </w:r>
      </w:hyperlink>
      <w:r>
        <w:t xml:space="preserve">. You will need to make a GitHub account if you haven’t done so yet.</w:t>
      </w:r>
    </w:p>
    <w:bookmarkEnd w:id="117"/>
    <w:bookmarkStart w:id="129" w:name="about-the-authors"/>
    <w:p>
      <w:pPr>
        <w:pStyle w:val="Heading1"/>
      </w:pPr>
      <w:r>
        <w:t xml:space="preserve">About the Authors</w:t>
      </w:r>
    </w:p>
    <w:p>
      <w:pPr>
        <w:pStyle w:val="FirstParagraph"/>
      </w:pPr>
      <w:r>
        <w:t xml:space="preserve">These credits are based on our</w:t>
      </w:r>
      <w:r>
        <w:t xml:space="preserve"> </w:t>
      </w:r>
      <w:hyperlink r:id="rId11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19">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20">
              <w:r>
                <w:rPr>
                  <w:rStyle w:val="Hyperlink"/>
                </w:rPr>
                <w:t xml:space="preserve">Jeff Leek</w:t>
              </w:r>
            </w:hyperlink>
            <w:r>
              <w:t xml:space="preserve">,</w:t>
            </w:r>
            <w:r>
              <w:t xml:space="preserve"> </w:t>
            </w:r>
            <w:hyperlink r:id="rId121">
              <w:r>
                <w:rPr>
                  <w:rStyle w:val="Hyperlink"/>
                </w:rPr>
                <w:t xml:space="preserve">Michael Schatz</w:t>
              </w:r>
            </w:hyperlink>
            <w:r>
              <w:t xml:space="preserve">,</w:t>
            </w:r>
            <w:r>
              <w:t xml:space="preserve"> </w:t>
            </w:r>
            <w:hyperlink r:id="rId122">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23">
              <w:r>
                <w:rPr>
                  <w:rStyle w:val="Hyperlink"/>
                </w:rPr>
                <w:t xml:space="preserve">Katherine Cox</w:t>
              </w:r>
            </w:hyperlink>
            <w:r>
              <w:t xml:space="preserve">, Natalie Kucher,</w:t>
            </w:r>
            <w:r>
              <w:t xml:space="preserve"> </w:t>
            </w:r>
            <w:hyperlink r:id="rId122">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20">
              <w:r>
                <w:rPr>
                  <w:rStyle w:val="Hyperlink"/>
                </w:rPr>
                <w:t xml:space="preserve">Jeff Leek</w:t>
              </w:r>
            </w:hyperlink>
            <w:r>
              <w:t xml:space="preserve">,</w:t>
            </w:r>
            <w:r>
              <w:t xml:space="preserve"> </w:t>
            </w:r>
            <w:hyperlink r:id="rId122">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20">
              <w:r>
                <w:rPr>
                  <w:rStyle w:val="Hyperlink"/>
                </w:rPr>
                <w:t xml:space="preserve">Jeff Leek</w:t>
              </w:r>
            </w:hyperlink>
            <w:r>
              <w:t xml:space="preserve">, Tiffany Rolle,</w:t>
            </w:r>
            <w:r>
              <w:t xml:space="preserve"> </w:t>
            </w:r>
            <w:hyperlink r:id="rId122">
              <w:r>
                <w:rPr>
                  <w:rStyle w:val="Hyperlink"/>
                </w:rPr>
                <w:t xml:space="preserve">Frederick Tan</w:t>
              </w:r>
            </w:hyperlink>
            <w:r>
              <w:t xml:space="preserve">,</w:t>
            </w:r>
            <w:r>
              <w:t xml:space="preserve"> </w:t>
            </w:r>
            <w:hyperlink r:id="rId124">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25">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6">
              <w:r>
                <w:rPr>
                  <w:rStyle w:val="Hyperlink"/>
                </w:rPr>
                <w:t xml:space="preserve">Candace Savonen</w:t>
              </w:r>
            </w:hyperlink>
            <w:r>
              <w:t xml:space="preserve">,</w:t>
            </w:r>
            <w:r>
              <w:t xml:space="preserve"> </w:t>
            </w:r>
            <w:hyperlink r:id="rId124">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4">
              <w:r>
                <w:rPr>
                  <w:rStyle w:val="Hyperlink"/>
                </w:rPr>
                <w:t xml:space="preserve">Carrie Wright</w:t>
              </w:r>
            </w:hyperlink>
            <w:r>
              <w:t xml:space="preserve">,</w:t>
            </w:r>
            <w:r>
              <w:t xml:space="preserve"> </w:t>
            </w:r>
            <w:hyperlink r:id="rId126">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7">
              <w:r>
                <w:rPr>
                  <w:rStyle w:val="Hyperlink"/>
                </w:rPr>
                <w:t xml:space="preserve">John Muschelli</w:t>
              </w:r>
            </w:hyperlink>
            <w:r>
              <w:t xml:space="preserve">,</w:t>
            </w:r>
            <w:r>
              <w:t xml:space="preserve"> </w:t>
            </w:r>
            <w:hyperlink r:id="rId126">
              <w:r>
                <w:rPr>
                  <w:rStyle w:val="Hyperlink"/>
                </w:rPr>
                <w:t xml:space="preserve">Candace Savonen</w:t>
              </w:r>
            </w:hyperlink>
            <w:r>
              <w:t xml:space="preserve">,</w:t>
            </w:r>
            <w:r>
              <w:t xml:space="preserve"> </w:t>
            </w:r>
            <w:hyperlink r:id="rId124">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28">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2023-03-22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2023-03-10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3.6.0   2023-01-09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0.5.4   2022-12-07 [1] CRAN (R 4.0.2)                    </w:t>
      </w:r>
      <w:r>
        <w:br/>
      </w:r>
      <w:r>
        <w:rPr>
          <w:rStyle w:val="VerbatimChar"/>
        </w:rPr>
        <w:t xml:space="preserve">##  knitr         1.33    2023-03-10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1.0.6   2022-09-24 [1] CRAN (R 4.0.2)                    </w:t>
      </w:r>
      <w:r>
        <w:br/>
      </w:r>
      <w:r>
        <w:rPr>
          <w:rStyle w:val="VerbatimChar"/>
        </w:rPr>
        <w:t xml:space="preserve">##  rmarkdown     2.10    2023-03-10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2023-03-10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2023-03-10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9"/>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101" Target="media/rId101.png" /><Relationship Type="http://schemas.openxmlformats.org/officeDocument/2006/relationships/image" Id="rId82" Target="media/rId82.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78" Target="media/rId78.png" /><Relationship Type="http://schemas.openxmlformats.org/officeDocument/2006/relationships/image" Id="rId76" Target="media/rId76.png" /><Relationship Type="http://schemas.openxmlformats.org/officeDocument/2006/relationships/image" Id="rId60" Target="media/rId60.png" /><Relationship Type="http://schemas.openxmlformats.org/officeDocument/2006/relationships/hyperlink" Id="rId86" Target="http://drive5.com/usearch/manual/quality_score.html" TargetMode="External" /><Relationship Type="http://schemas.openxmlformats.org/officeDocument/2006/relationships/hyperlink" Id="rId121" Target="http://schatz-lab.org/" TargetMode="External" /><Relationship Type="http://schemas.openxmlformats.org/officeDocument/2006/relationships/hyperlink" Id="rId59"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22" Target="https://carnegiescience.edu/frederick-tan" TargetMode="External" /><Relationship Type="http://schemas.openxmlformats.org/officeDocument/2006/relationships/hyperlink" Id="rId124"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15"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10"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8" Target="https://github.com/jhudsl/DaSL_Course_Template_Bookdown/wiki/How-to-give-credits" TargetMode="External" /><Relationship Type="http://schemas.openxmlformats.org/officeDocument/2006/relationships/hyperlink" Id="rId116" Target="https://github.com/jhudsl/GDSCN_Book_SARS_Galaxy_on_AnVIL/issues/new" TargetMode="External" /><Relationship Type="http://schemas.openxmlformats.org/officeDocument/2006/relationships/hyperlink" Id="rId112" Target="https://github.com/jhudsl/GDSCN_Book_SARS_Galaxy_on_AnVIL/raw/main/docs/GDSCN-Book-SARS-with-Galaxy-on-AnVIL.docx" TargetMode="External" /><Relationship Type="http://schemas.openxmlformats.org/officeDocument/2006/relationships/hyperlink" Id="rId114"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66" Target="https://jhudatascience.org/AnVIL_Book_Getting_Started/starting-galaxy.html" TargetMode="External" /><Relationship Type="http://schemas.openxmlformats.org/officeDocument/2006/relationships/hyperlink" Id="rId55" Target="https://jhudatascience.org/AnVIL_Book_Instructor_Guide/student-account-setup.html" TargetMode="External" /><Relationship Type="http://schemas.openxmlformats.org/officeDocument/2006/relationships/hyperlink" Id="rId127" Target="https://johnmuschelli.com/" TargetMode="External" /><Relationship Type="http://schemas.openxmlformats.org/officeDocument/2006/relationships/hyperlink" Id="rId120" Target="https://jtleek.com/" TargetMode="External" /><Relationship Type="http://schemas.openxmlformats.org/officeDocument/2006/relationships/hyperlink" Id="rId125" Target="https://publichealth.jhu.edu/faculty/4130/ira-gooding" TargetMode="External" /><Relationship Type="http://schemas.openxmlformats.org/officeDocument/2006/relationships/hyperlink" Id="rId123" Target="https://publichealth.jhu.edu/faculty/4170/katherine-cox"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19" Target="https://www.avahoffman.com/" TargetMode="External" /><Relationship Type="http://schemas.openxmlformats.org/officeDocument/2006/relationships/hyperlink" Id="rId126" Target="https://www.cansavvy.com/" TargetMode="External" /><Relationship Type="http://schemas.openxmlformats.org/officeDocument/2006/relationships/hyperlink" Id="rId24" Target="https://www.gdscn.org/home" TargetMode="External" /><Relationship Type="http://schemas.openxmlformats.org/officeDocument/2006/relationships/hyperlink" Id="rId128" Target="https://www.genome.gov/"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footnotes.xml.rels><?xml version="1.0" encoding="UTF-8"?><Relationships xmlns="http://schemas.openxmlformats.org/package/2006/relationships"><Relationship Type="http://schemas.openxmlformats.org/officeDocument/2006/relationships/hyperlink" Id="rId86" Target="http://drive5.com/usearch/manual/quality_score.html" TargetMode="External" /><Relationship Type="http://schemas.openxmlformats.org/officeDocument/2006/relationships/hyperlink" Id="rId121" Target="http://schatz-lab.org/" TargetMode="External" /><Relationship Type="http://schemas.openxmlformats.org/officeDocument/2006/relationships/hyperlink" Id="rId59"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22" Target="https://carnegiescience.edu/frederick-tan" TargetMode="External" /><Relationship Type="http://schemas.openxmlformats.org/officeDocument/2006/relationships/hyperlink" Id="rId124"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15"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10"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8" Target="https://github.com/jhudsl/DaSL_Course_Template_Bookdown/wiki/How-to-give-credits" TargetMode="External" /><Relationship Type="http://schemas.openxmlformats.org/officeDocument/2006/relationships/hyperlink" Id="rId116" Target="https://github.com/jhudsl/GDSCN_Book_SARS_Galaxy_on_AnVIL/issues/new" TargetMode="External" /><Relationship Type="http://schemas.openxmlformats.org/officeDocument/2006/relationships/hyperlink" Id="rId112" Target="https://github.com/jhudsl/GDSCN_Book_SARS_Galaxy_on_AnVIL/raw/main/docs/GDSCN-Book-SARS-with-Galaxy-on-AnVIL.docx" TargetMode="External" /><Relationship Type="http://schemas.openxmlformats.org/officeDocument/2006/relationships/hyperlink" Id="rId114"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66" Target="https://jhudatascience.org/AnVIL_Book_Getting_Started/starting-galaxy.html" TargetMode="External" /><Relationship Type="http://schemas.openxmlformats.org/officeDocument/2006/relationships/hyperlink" Id="rId55" Target="https://jhudatascience.org/AnVIL_Book_Instructor_Guide/student-account-setup.html" TargetMode="External" /><Relationship Type="http://schemas.openxmlformats.org/officeDocument/2006/relationships/hyperlink" Id="rId127" Target="https://johnmuschelli.com/" TargetMode="External" /><Relationship Type="http://schemas.openxmlformats.org/officeDocument/2006/relationships/hyperlink" Id="rId120" Target="https://jtleek.com/" TargetMode="External" /><Relationship Type="http://schemas.openxmlformats.org/officeDocument/2006/relationships/hyperlink" Id="rId125" Target="https://publichealth.jhu.edu/faculty/4130/ira-gooding" TargetMode="External" /><Relationship Type="http://schemas.openxmlformats.org/officeDocument/2006/relationships/hyperlink" Id="rId123" Target="https://publichealth.jhu.edu/faculty/4170/katherine-cox"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19" Target="https://www.avahoffman.com/" TargetMode="External" /><Relationship Type="http://schemas.openxmlformats.org/officeDocument/2006/relationships/hyperlink" Id="rId126" Target="https://www.cansavvy.com/" TargetMode="External" /><Relationship Type="http://schemas.openxmlformats.org/officeDocument/2006/relationships/hyperlink" Id="rId24" Target="https://www.gdscn.org/home" TargetMode="External" /><Relationship Type="http://schemas.openxmlformats.org/officeDocument/2006/relationships/hyperlink" Id="rId128" Target="https://www.genome.gov/"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2023-03-22T16:51:30Z</dcterms:created>
  <dcterms:modified xsi:type="dcterms:W3CDTF">2023-03-22T16:51:30Z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22,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