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217E" w14:textId="77777777" w:rsidR="007072D9" w:rsidRDefault="005863DE">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25009519" w14:textId="77777777" w:rsidR="007072D9" w:rsidRDefault="005863DE">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2264AE02" w14:textId="77777777" w:rsidR="007072D9" w:rsidRDefault="005863DE">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0B7458F9" w14:textId="77777777" w:rsidR="007072D9" w:rsidRDefault="005863DE">
      <w:pPr>
        <w:ind w:left="120"/>
        <w:rPr>
          <w:rFonts w:ascii="Arial" w:eastAsia="Arial" w:hAnsi="Arial"/>
          <w:sz w:val="20"/>
          <w:szCs w:val="20"/>
        </w:rPr>
      </w:pPr>
      <w:hyperlink r:id="rId7" w:history="1">
        <w:r>
          <w:rPr>
            <w:rFonts w:ascii="Arial" w:eastAsia="Arial" w:hAnsi="Arial"/>
            <w:sz w:val="20"/>
            <w:szCs w:val="20"/>
          </w:rPr>
          <w:t>dgoldstein@humnet.ucla.edu</w:t>
        </w:r>
      </w:hyperlink>
    </w:p>
    <w:p w14:paraId="0985FE8F" w14:textId="77777777" w:rsidR="007072D9" w:rsidRDefault="005863DE">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Nytril LLC3060 San Pasqu</w:t>
      </w:r>
      <w:r>
        <w:rPr>
          <w:rFonts w:ascii="Arial" w:eastAsia="Arial" w:hAnsi="Arial"/>
          <w:sz w:val="20"/>
          <w:szCs w:val="20"/>
        </w:rPr>
        <w:t xml:space="preserve">al St., Pasadena, CA 91107, USA, </w:t>
      </w:r>
    </w:p>
    <w:p w14:paraId="74836CF7" w14:textId="77777777" w:rsidR="007072D9" w:rsidRDefault="005863DE">
      <w:pPr>
        <w:ind w:left="120"/>
        <w:rPr>
          <w:rFonts w:ascii="Arial" w:eastAsia="Arial" w:hAnsi="Arial"/>
          <w:sz w:val="20"/>
          <w:szCs w:val="20"/>
        </w:rPr>
      </w:pPr>
      <w:hyperlink r:id="rId8" w:history="1">
        <w:r>
          <w:rPr>
            <w:rFonts w:ascii="Arial" w:eastAsia="Arial" w:hAnsi="Arial"/>
            <w:sz w:val="20"/>
            <w:szCs w:val="20"/>
          </w:rPr>
          <w:t>shawn.mccreight@gmail.com</w:t>
        </w:r>
      </w:hyperlink>
    </w:p>
    <w:p w14:paraId="70F848B2" w14:textId="77777777" w:rsidR="007072D9" w:rsidRDefault="005863DE">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0009D65F" w14:textId="77777777" w:rsidR="007072D9" w:rsidRDefault="005863DE">
      <w:pPr>
        <w:ind w:left="120"/>
        <w:rPr>
          <w:rFonts w:ascii="Arial" w:eastAsia="Arial" w:hAnsi="Arial"/>
          <w:sz w:val="20"/>
          <w:szCs w:val="20"/>
        </w:rPr>
      </w:pPr>
      <w:hyperlink r:id="rId9" w:history="1">
        <w:r>
          <w:rPr>
            <w:rFonts w:ascii="Arial" w:eastAsia="Arial" w:hAnsi="Arial"/>
            <w:sz w:val="20"/>
            <w:szCs w:val="20"/>
          </w:rPr>
          <w:t>johnh@berkeley.edu</w:t>
        </w:r>
      </w:hyperlink>
    </w:p>
    <w:p w14:paraId="147197D0" w14:textId="77777777" w:rsidR="007072D9" w:rsidRDefault="005863DE">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64D9BADD" w14:textId="77777777" w:rsidR="007072D9" w:rsidRDefault="005863DE">
      <w:pPr>
        <w:keepNext/>
        <w:spacing w:before="364" w:after="161"/>
        <w:rPr>
          <w:rFonts w:ascii="Arial" w:eastAsia="Arial" w:hAnsi="Arial"/>
          <w:b/>
          <w:sz w:val="32"/>
          <w:szCs w:val="32"/>
        </w:rPr>
      </w:pPr>
      <w:r>
        <w:rPr>
          <w:rFonts w:ascii="Arial" w:eastAsia="Arial" w:hAnsi="Arial"/>
          <w:b/>
          <w:sz w:val="32"/>
          <w:szCs w:val="32"/>
        </w:rPr>
        <w:t>Abstract</w:t>
      </w:r>
    </w:p>
    <w:p w14:paraId="0FE28F8A" w14:textId="77777777" w:rsidR="007072D9" w:rsidRDefault="005863DE">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01A96DF0" w14:textId="77777777" w:rsidR="007072D9" w:rsidRDefault="005863DE">
      <w:pPr>
        <w:keepNext/>
        <w:spacing w:before="240" w:after="120"/>
        <w:rPr>
          <w:rFonts w:ascii="Arial" w:eastAsia="Arial" w:hAnsi="Arial"/>
          <w:b/>
          <w:sz w:val="28"/>
          <w:szCs w:val="28"/>
        </w:rPr>
      </w:pPr>
      <w:r>
        <w:rPr>
          <w:rFonts w:ascii="Arial" w:eastAsia="Arial" w:hAnsi="Arial"/>
          <w:b/>
          <w:sz w:val="28"/>
          <w:szCs w:val="28"/>
        </w:rPr>
        <w:t>Introduction</w:t>
      </w:r>
    </w:p>
    <w:p w14:paraId="5BEB4AA1" w14:textId="77777777" w:rsidR="007072D9" w:rsidRDefault="005863DE">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6C9AF667"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701471859"/>
          <w:citation/>
        </w:sdtPr>
        <w:sdtEndPr/>
        <w:sdtContent>
          <w:r>
            <w:fldChar w:fldCharType="begin"/>
          </w:r>
          <w:r>
            <w:instrText xml:space="preserve">CITATION References.gray2000 \l 1033 </w:instrText>
          </w:r>
          <w:r>
            <w:fldChar w:fldCharType="separate"/>
          </w:r>
          <w:r w:rsidR="00E33F15">
            <w:rPr>
              <w:noProof/>
            </w:rPr>
            <w:t xml:space="preserve"> (Gray and Jordan, Language trees support the express-train sequence of Austronesian expansion 2000)</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0FEBB2A6"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1889910037"/>
          <w:citation/>
        </w:sdtPr>
        <w:sdtEndPr/>
        <w:sdtContent>
          <w:r>
            <w:fldChar w:fldCharType="begin"/>
          </w:r>
          <w:r>
            <w:instrText xml:space="preserve">CITATION References.ringe2002 \l 1033 </w:instrText>
          </w:r>
          <w:r>
            <w:fldChar w:fldCharType="separate"/>
          </w:r>
          <w:r w:rsidR="00E33F15">
            <w:rPr>
              <w:noProof/>
            </w:rPr>
            <w:t xml:space="preserve"> (Ringe, Warnow and Taylor 2002)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931633130"/>
          <w:citation/>
        </w:sdtPr>
        <w:sdtEndPr/>
        <w:sdtContent>
          <w:r>
            <w:fldChar w:fldCharType="begin"/>
          </w:r>
          <w:r>
            <w:instrText xml:space="preserve">CITATION References.weiss2015 \l 1033 </w:instrText>
          </w:r>
          <w:r>
            <w:fldChar w:fldCharType="separate"/>
          </w:r>
          <w:r w:rsidR="00E33F15">
            <w:rPr>
              <w:noProof/>
            </w:rPr>
            <w:t xml:space="preserve"> (Weiss 2015)</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7072D9" w14:paraId="1C0F99E0" w14:textId="77777777">
        <w:trPr>
          <w:jc w:val="center"/>
        </w:trPr>
        <w:tc>
          <w:tcPr>
            <w:tcW w:w="1440" w:type="dxa"/>
            <w:tcBorders>
              <w:bottom w:val="single" w:sz="4" w:space="0" w:color="000000"/>
            </w:tcBorders>
          </w:tcPr>
          <w:p w14:paraId="60314D10" w14:textId="77777777" w:rsidR="007072D9" w:rsidRDefault="005863DE">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5E6658F2" w14:textId="77777777" w:rsidR="007072D9" w:rsidRDefault="005863DE">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176F189A" w14:textId="77777777" w:rsidR="007072D9" w:rsidRDefault="005863DE">
            <w:pPr>
              <w:rPr>
                <w:rFonts w:ascii="Times New Roman" w:eastAsia="Times New Roman" w:hAnsi="Times New Roman"/>
              </w:rPr>
            </w:pPr>
            <w:r>
              <w:rPr>
                <w:rFonts w:ascii="Times New Roman" w:eastAsia="Times New Roman" w:hAnsi="Times New Roman"/>
              </w:rPr>
              <w:t>Coding</w:t>
            </w:r>
          </w:p>
        </w:tc>
      </w:tr>
      <w:tr w:rsidR="007072D9" w14:paraId="2C88C320" w14:textId="77777777">
        <w:trPr>
          <w:jc w:val="center"/>
        </w:trPr>
        <w:tc>
          <w:tcPr>
            <w:tcW w:w="1440" w:type="dxa"/>
          </w:tcPr>
          <w:p w14:paraId="1D8ED642" w14:textId="77777777" w:rsidR="007072D9" w:rsidRDefault="005863DE">
            <w:pPr>
              <w:rPr>
                <w:rFonts w:ascii="Times New Roman" w:eastAsia="Times New Roman" w:hAnsi="Times New Roman"/>
              </w:rPr>
            </w:pPr>
            <w:r>
              <w:rPr>
                <w:rFonts w:ascii="Times New Roman" w:eastAsia="Times New Roman" w:hAnsi="Times New Roman"/>
              </w:rPr>
              <w:t>English</w:t>
            </w:r>
          </w:p>
        </w:tc>
        <w:tc>
          <w:tcPr>
            <w:tcW w:w="1440" w:type="dxa"/>
          </w:tcPr>
          <w:p w14:paraId="0BBE5814" w14:textId="77777777" w:rsidR="007072D9" w:rsidRDefault="005863DE">
            <w:pPr>
              <w:rPr>
                <w:rFonts w:ascii="Linux Libertine O" w:eastAsia="Linux Libertine O" w:hAnsi="Linux Libertine O"/>
              </w:rPr>
            </w:pPr>
            <w:r>
              <w:rPr>
                <w:rFonts w:ascii="Linux Libertine O" w:eastAsia="Linux Libertine O" w:hAnsi="Linux Libertine O"/>
              </w:rPr>
              <w:t>/hænd/</w:t>
            </w:r>
          </w:p>
        </w:tc>
        <w:tc>
          <w:tcPr>
            <w:tcW w:w="864" w:type="dxa"/>
          </w:tcPr>
          <w:p w14:paraId="2045B04A" w14:textId="77777777" w:rsidR="007072D9" w:rsidRDefault="005863DE">
            <w:pPr>
              <w:rPr>
                <w:rFonts w:ascii="Times New Roman" w:eastAsia="Times New Roman" w:hAnsi="Times New Roman"/>
              </w:rPr>
            </w:pPr>
            <w:r>
              <w:rPr>
                <w:rFonts w:ascii="Times New Roman" w:eastAsia="Times New Roman" w:hAnsi="Times New Roman"/>
              </w:rPr>
              <w:t>0</w:t>
            </w:r>
          </w:p>
        </w:tc>
      </w:tr>
      <w:tr w:rsidR="007072D9" w14:paraId="1FF1E60F" w14:textId="77777777">
        <w:trPr>
          <w:jc w:val="center"/>
        </w:trPr>
        <w:tc>
          <w:tcPr>
            <w:tcW w:w="1440" w:type="dxa"/>
          </w:tcPr>
          <w:p w14:paraId="15B27DF7" w14:textId="77777777" w:rsidR="007072D9" w:rsidRDefault="005863DE">
            <w:pPr>
              <w:rPr>
                <w:rFonts w:ascii="Times New Roman" w:eastAsia="Times New Roman" w:hAnsi="Times New Roman"/>
              </w:rPr>
            </w:pPr>
            <w:r>
              <w:rPr>
                <w:rFonts w:ascii="Times New Roman" w:eastAsia="Times New Roman" w:hAnsi="Times New Roman"/>
              </w:rPr>
              <w:t>German</w:t>
            </w:r>
          </w:p>
        </w:tc>
        <w:tc>
          <w:tcPr>
            <w:tcW w:w="1440" w:type="dxa"/>
          </w:tcPr>
          <w:p w14:paraId="7B973050" w14:textId="77777777" w:rsidR="007072D9" w:rsidRDefault="005863DE">
            <w:pPr>
              <w:rPr>
                <w:rFonts w:ascii="Linux Libertine O" w:eastAsia="Linux Libertine O" w:hAnsi="Linux Libertine O"/>
              </w:rPr>
            </w:pPr>
            <w:r>
              <w:rPr>
                <w:rFonts w:ascii="Linux Libertine O" w:eastAsia="Linux Libertine O" w:hAnsi="Linux Libertine O"/>
              </w:rPr>
              <w:t>/hant/</w:t>
            </w:r>
          </w:p>
        </w:tc>
        <w:tc>
          <w:tcPr>
            <w:tcW w:w="864" w:type="dxa"/>
          </w:tcPr>
          <w:p w14:paraId="7225671E" w14:textId="77777777" w:rsidR="007072D9" w:rsidRDefault="005863DE">
            <w:pPr>
              <w:rPr>
                <w:rFonts w:ascii="Times New Roman" w:eastAsia="Times New Roman" w:hAnsi="Times New Roman"/>
              </w:rPr>
            </w:pPr>
            <w:r>
              <w:rPr>
                <w:rFonts w:ascii="Times New Roman" w:eastAsia="Times New Roman" w:hAnsi="Times New Roman"/>
              </w:rPr>
              <w:t>0</w:t>
            </w:r>
          </w:p>
        </w:tc>
      </w:tr>
      <w:tr w:rsidR="007072D9" w14:paraId="67A3C646" w14:textId="77777777">
        <w:trPr>
          <w:jc w:val="center"/>
        </w:trPr>
        <w:tc>
          <w:tcPr>
            <w:tcW w:w="1440" w:type="dxa"/>
          </w:tcPr>
          <w:p w14:paraId="1E13802E" w14:textId="77777777" w:rsidR="007072D9" w:rsidRDefault="005863DE">
            <w:pPr>
              <w:rPr>
                <w:rFonts w:ascii="Times New Roman" w:eastAsia="Times New Roman" w:hAnsi="Times New Roman"/>
              </w:rPr>
            </w:pPr>
            <w:r>
              <w:rPr>
                <w:rFonts w:ascii="Times New Roman" w:eastAsia="Times New Roman" w:hAnsi="Times New Roman"/>
              </w:rPr>
              <w:t>French</w:t>
            </w:r>
          </w:p>
        </w:tc>
        <w:tc>
          <w:tcPr>
            <w:tcW w:w="1440" w:type="dxa"/>
          </w:tcPr>
          <w:p w14:paraId="6D29170F" w14:textId="77777777" w:rsidR="007072D9" w:rsidRDefault="005863DE">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5C669D0C" w14:textId="77777777" w:rsidR="007072D9" w:rsidRDefault="005863DE">
            <w:pPr>
              <w:rPr>
                <w:rFonts w:ascii="Times New Roman" w:eastAsia="Times New Roman" w:hAnsi="Times New Roman"/>
              </w:rPr>
            </w:pPr>
            <w:r>
              <w:rPr>
                <w:rFonts w:ascii="Times New Roman" w:eastAsia="Times New Roman" w:hAnsi="Times New Roman"/>
              </w:rPr>
              <w:t>1</w:t>
            </w:r>
          </w:p>
        </w:tc>
      </w:tr>
      <w:tr w:rsidR="007072D9" w14:paraId="59D6F9FC" w14:textId="77777777">
        <w:trPr>
          <w:jc w:val="center"/>
        </w:trPr>
        <w:tc>
          <w:tcPr>
            <w:tcW w:w="1440" w:type="dxa"/>
          </w:tcPr>
          <w:p w14:paraId="10FA615F" w14:textId="77777777" w:rsidR="007072D9" w:rsidRDefault="005863DE">
            <w:pPr>
              <w:rPr>
                <w:rFonts w:ascii="Times New Roman" w:eastAsia="Times New Roman" w:hAnsi="Times New Roman"/>
              </w:rPr>
            </w:pPr>
            <w:r>
              <w:rPr>
                <w:rFonts w:ascii="Times New Roman" w:eastAsia="Times New Roman" w:hAnsi="Times New Roman"/>
              </w:rPr>
              <w:t>Spanish</w:t>
            </w:r>
          </w:p>
        </w:tc>
        <w:tc>
          <w:tcPr>
            <w:tcW w:w="1440" w:type="dxa"/>
          </w:tcPr>
          <w:p w14:paraId="7076293D" w14:textId="77777777" w:rsidR="007072D9" w:rsidRDefault="005863DE">
            <w:pPr>
              <w:rPr>
                <w:rFonts w:ascii="Linux Libertine O" w:eastAsia="Linux Libertine O" w:hAnsi="Linux Libertine O"/>
              </w:rPr>
            </w:pPr>
            <w:r>
              <w:rPr>
                <w:rFonts w:ascii="Linux Libertine O" w:eastAsia="Linux Libertine O" w:hAnsi="Linux Libertine O"/>
              </w:rPr>
              <w:t>/mano/</w:t>
            </w:r>
          </w:p>
        </w:tc>
        <w:tc>
          <w:tcPr>
            <w:tcW w:w="864" w:type="dxa"/>
          </w:tcPr>
          <w:p w14:paraId="0018FE0D" w14:textId="77777777" w:rsidR="007072D9" w:rsidRDefault="005863DE">
            <w:pPr>
              <w:rPr>
                <w:rFonts w:ascii="Times New Roman" w:eastAsia="Times New Roman" w:hAnsi="Times New Roman"/>
              </w:rPr>
            </w:pPr>
            <w:r>
              <w:rPr>
                <w:rFonts w:ascii="Times New Roman" w:eastAsia="Times New Roman" w:hAnsi="Times New Roman"/>
              </w:rPr>
              <w:t>1</w:t>
            </w:r>
          </w:p>
        </w:tc>
      </w:tr>
      <w:tr w:rsidR="007072D9" w14:paraId="035DBD56" w14:textId="77777777">
        <w:trPr>
          <w:jc w:val="center"/>
        </w:trPr>
        <w:tc>
          <w:tcPr>
            <w:tcW w:w="1440" w:type="dxa"/>
          </w:tcPr>
          <w:p w14:paraId="27411A68" w14:textId="77777777" w:rsidR="007072D9" w:rsidRDefault="005863DE">
            <w:pPr>
              <w:rPr>
                <w:rFonts w:ascii="Times New Roman" w:eastAsia="Times New Roman" w:hAnsi="Times New Roman"/>
              </w:rPr>
            </w:pPr>
            <w:r>
              <w:rPr>
                <w:rFonts w:ascii="Times New Roman" w:eastAsia="Times New Roman" w:hAnsi="Times New Roman"/>
              </w:rPr>
              <w:t>Italian</w:t>
            </w:r>
          </w:p>
        </w:tc>
        <w:tc>
          <w:tcPr>
            <w:tcW w:w="1440" w:type="dxa"/>
          </w:tcPr>
          <w:p w14:paraId="079ED171" w14:textId="77777777" w:rsidR="007072D9" w:rsidRDefault="005863DE">
            <w:pPr>
              <w:rPr>
                <w:rFonts w:ascii="Linux Libertine O" w:eastAsia="Linux Libertine O" w:hAnsi="Linux Libertine O"/>
              </w:rPr>
            </w:pPr>
            <w:r>
              <w:rPr>
                <w:rFonts w:ascii="Linux Libertine O" w:eastAsia="Linux Libertine O" w:hAnsi="Linux Libertine O"/>
              </w:rPr>
              <w:t>/maːno/</w:t>
            </w:r>
          </w:p>
        </w:tc>
        <w:tc>
          <w:tcPr>
            <w:tcW w:w="864" w:type="dxa"/>
          </w:tcPr>
          <w:p w14:paraId="72D57E5D" w14:textId="77777777" w:rsidR="007072D9" w:rsidRDefault="005863DE">
            <w:pPr>
              <w:rPr>
                <w:rFonts w:ascii="Times New Roman" w:eastAsia="Times New Roman" w:hAnsi="Times New Roman"/>
              </w:rPr>
            </w:pPr>
            <w:r>
              <w:rPr>
                <w:rFonts w:ascii="Times New Roman" w:eastAsia="Times New Roman" w:hAnsi="Times New Roman"/>
              </w:rPr>
              <w:t>1</w:t>
            </w:r>
          </w:p>
        </w:tc>
      </w:tr>
      <w:tr w:rsidR="007072D9" w14:paraId="170D6F9E" w14:textId="77777777">
        <w:trPr>
          <w:jc w:val="center"/>
        </w:trPr>
        <w:tc>
          <w:tcPr>
            <w:tcW w:w="1440" w:type="dxa"/>
          </w:tcPr>
          <w:p w14:paraId="3E352FFC" w14:textId="77777777" w:rsidR="007072D9" w:rsidRDefault="005863DE">
            <w:pPr>
              <w:rPr>
                <w:rFonts w:ascii="Times New Roman" w:eastAsia="Times New Roman" w:hAnsi="Times New Roman"/>
              </w:rPr>
            </w:pPr>
            <w:r>
              <w:rPr>
                <w:rFonts w:ascii="Times New Roman" w:eastAsia="Times New Roman" w:hAnsi="Times New Roman"/>
              </w:rPr>
              <w:t>Russian</w:t>
            </w:r>
          </w:p>
        </w:tc>
        <w:tc>
          <w:tcPr>
            <w:tcW w:w="1440" w:type="dxa"/>
          </w:tcPr>
          <w:p w14:paraId="197EA2AD" w14:textId="77777777" w:rsidR="007072D9" w:rsidRDefault="005863D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2A338F4E" w14:textId="77777777" w:rsidR="007072D9" w:rsidRDefault="005863DE">
            <w:pPr>
              <w:rPr>
                <w:rFonts w:ascii="Times New Roman" w:eastAsia="Times New Roman" w:hAnsi="Times New Roman"/>
              </w:rPr>
            </w:pPr>
            <w:r>
              <w:rPr>
                <w:rFonts w:ascii="Times New Roman" w:eastAsia="Times New Roman" w:hAnsi="Times New Roman"/>
              </w:rPr>
              <w:t>2</w:t>
            </w:r>
          </w:p>
        </w:tc>
      </w:tr>
      <w:tr w:rsidR="007072D9" w14:paraId="241C55A6" w14:textId="77777777">
        <w:trPr>
          <w:jc w:val="center"/>
        </w:trPr>
        <w:tc>
          <w:tcPr>
            <w:tcW w:w="1440" w:type="dxa"/>
          </w:tcPr>
          <w:p w14:paraId="797FB06D" w14:textId="77777777" w:rsidR="007072D9" w:rsidRDefault="005863DE">
            <w:pPr>
              <w:rPr>
                <w:rFonts w:ascii="Times New Roman" w:eastAsia="Times New Roman" w:hAnsi="Times New Roman"/>
              </w:rPr>
            </w:pPr>
            <w:r>
              <w:rPr>
                <w:rFonts w:ascii="Times New Roman" w:eastAsia="Times New Roman" w:hAnsi="Times New Roman"/>
              </w:rPr>
              <w:t>Polish</w:t>
            </w:r>
          </w:p>
        </w:tc>
        <w:tc>
          <w:tcPr>
            <w:tcW w:w="1440" w:type="dxa"/>
          </w:tcPr>
          <w:p w14:paraId="32A02FFF" w14:textId="77777777" w:rsidR="007072D9" w:rsidRDefault="005863D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465E20C7" w14:textId="77777777" w:rsidR="007072D9" w:rsidRDefault="005863DE">
            <w:pPr>
              <w:rPr>
                <w:rFonts w:ascii="Times New Roman" w:eastAsia="Times New Roman" w:hAnsi="Times New Roman"/>
              </w:rPr>
            </w:pPr>
            <w:r>
              <w:rPr>
                <w:rFonts w:ascii="Times New Roman" w:eastAsia="Times New Roman" w:hAnsi="Times New Roman"/>
              </w:rPr>
              <w:t>2</w:t>
            </w:r>
          </w:p>
        </w:tc>
      </w:tr>
    </w:tbl>
    <w:p w14:paraId="6E0E9599" w14:textId="77777777" w:rsidR="007072D9" w:rsidRDefault="007072D9"/>
    <w:p w14:paraId="408DF5AF" w14:textId="77777777" w:rsidR="007072D9" w:rsidRDefault="005863DE">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21171205"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1160112741"/>
          <w:citation/>
        </w:sdtPr>
        <w:sdtEndPr/>
        <w:sdtContent>
          <w:r>
            <w:fldChar w:fldCharType="begin"/>
          </w:r>
          <w:r>
            <w:instrText xml:space="preserve">CITATION References.lewis01 \l 1033 </w:instrText>
          </w:r>
          <w:r>
            <w:fldChar w:fldCharType="separate"/>
          </w:r>
          <w:r w:rsidR="00E33F15">
            <w:rPr>
              <w:noProof/>
            </w:rPr>
            <w:t xml:space="preserve"> (Lewis 2001)</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w:t>
      </w:r>
      <w:r>
        <w:rPr>
          <w:rFonts w:ascii="Times New Roman" w:eastAsia="Times New Roman" w:hAnsi="Times New Roman"/>
        </w:rPr>
        <w:lastRenderedPageBreak/>
        <w:t xml:space="preserve">one cognate word is not equivalent to the state 0 from another word. For this reason, linguistic </w:t>
      </w:r>
      <w:r>
        <w:rPr>
          <w:rFonts w:ascii="Times New Roman" w:eastAsia="Times New Roman" w:hAnsi="Times New Roman"/>
        </w:rPr>
        <w:t>phylogenetic analysis is limited to estimating the language 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0D1AFC52"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1677271088"/>
          <w:citation/>
        </w:sdtPr>
        <w:sdtEndPr/>
        <w:sdtContent>
          <w:r>
            <w:fldChar w:fldCharType="begin"/>
          </w:r>
          <w:r>
            <w:instrText xml:space="preserve">CITATION References.BouchardCote2013 \l 1033 </w:instrText>
          </w:r>
          <w:r>
            <w:fldChar w:fldCharType="separate"/>
          </w:r>
          <w:r w:rsidR="00E33F15">
            <w:rPr>
              <w:noProof/>
            </w:rPr>
            <w:t xml:space="preserve"> (Bouchard-Côté, et al. 2013)</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1787652081"/>
          <w:citation/>
        </w:sdtPr>
        <w:sdtEndPr/>
        <w:sdtContent>
          <w:r>
            <w:fldChar w:fldCharType="begin"/>
          </w:r>
          <w:r>
            <w:instrText xml:space="preserve">CITATION References.thorne91 \l 1033 </w:instrText>
          </w:r>
          <w:r>
            <w:fldChar w:fldCharType="separate"/>
          </w:r>
          <w:r w:rsidR="00E33F15">
            <w:rPr>
              <w:noProof/>
            </w:rPr>
            <w:t xml:space="preserve"> (Thorne, Kishino and Felsenstein 1991)</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5F4E9999"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876700657"/>
          <w:citation/>
        </w:sdtPr>
        <w:sdtEndPr/>
        <w:sdtContent>
          <w:r>
            <w:fldChar w:fldCharType="begin"/>
          </w:r>
          <w:r>
            <w:instrText xml:space="preserve">CITATION References.wong08 \l 1033 </w:instrText>
          </w:r>
          <w:r>
            <w:fldChar w:fldCharType="separate"/>
          </w:r>
          <w:r w:rsidR="00E33F15">
            <w:rPr>
              <w:noProof/>
            </w:rPr>
            <w:t xml:space="preserve"> (Wong, Suchard and Huelsenbeck 2008)</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1329558653"/>
          <w:citation/>
        </w:sdtPr>
        <w:sdtEndPr/>
        <w:sdtContent>
          <w:r>
            <w:fldChar w:fldCharType="begin"/>
          </w:r>
          <w:r>
            <w:instrText>CITATION Reference</w:instrText>
          </w:r>
          <w:r>
            <w:instrText xml:space="preserve">s.metropolis53 \l 1033 </w:instrText>
          </w:r>
          <w:r>
            <w:fldChar w:fldCharType="separate"/>
          </w:r>
          <w:r w:rsidR="00E33F15">
            <w:rPr>
              <w:noProof/>
            </w:rPr>
            <w:t xml:space="preserve"> (Metropolis, et al. 1953)</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65676B2E"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258 cognate classes comprising 1839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4B87B36E" w14:textId="77777777" w:rsidR="007072D9" w:rsidRDefault="005863DE">
      <w:pPr>
        <w:keepNext/>
        <w:spacing w:before="364" w:after="161"/>
        <w:rPr>
          <w:rFonts w:ascii="Arial" w:eastAsia="Arial" w:hAnsi="Arial"/>
          <w:b/>
          <w:sz w:val="32"/>
          <w:szCs w:val="32"/>
        </w:rPr>
      </w:pPr>
      <w:r>
        <w:rPr>
          <w:rFonts w:ascii="Arial" w:eastAsia="Arial" w:hAnsi="Arial"/>
          <w:b/>
          <w:sz w:val="32"/>
          <w:szCs w:val="32"/>
        </w:rPr>
        <w:t>Results</w:t>
      </w:r>
    </w:p>
    <w:p w14:paraId="2FFB5622" w14:textId="77777777" w:rsidR="007072D9" w:rsidRDefault="005863DE">
      <w:pPr>
        <w:keepNext/>
        <w:spacing w:before="240" w:after="120"/>
        <w:rPr>
          <w:rFonts w:ascii="Arial" w:eastAsia="Arial" w:hAnsi="Arial"/>
          <w:b/>
          <w:sz w:val="28"/>
          <w:szCs w:val="28"/>
        </w:rPr>
      </w:pPr>
      <w:r>
        <w:rPr>
          <w:rFonts w:ascii="Arial" w:eastAsia="Arial" w:hAnsi="Arial"/>
          <w:b/>
          <w:sz w:val="28"/>
          <w:szCs w:val="28"/>
        </w:rPr>
        <w:t>Understanding Word Transformation</w:t>
      </w:r>
    </w:p>
    <w:p w14:paraId="582421A7" w14:textId="77777777" w:rsidR="007072D9" w:rsidRDefault="005863DE">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1062526295"/>
          <w:citation/>
        </w:sdtPr>
        <w:sdtEndPr/>
        <w:sdtContent>
          <w:r>
            <w:fldChar w:fldCharType="begin"/>
          </w:r>
          <w:r>
            <w:instrText xml:space="preserve">CITATION References.xie2010 \l 1033 </w:instrText>
          </w:r>
          <w:r>
            <w:fldChar w:fldCharType="separate"/>
          </w:r>
          <w:r w:rsidR="00E33F15">
            <w:rPr>
              <w:noProof/>
            </w:rPr>
            <w:t xml:space="preserve"> (Xie, et al. 2010)</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7D2BF28F"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1A05518F" w14:textId="77777777" w:rsidR="007072D9" w:rsidRDefault="005863DE">
      <w:pPr>
        <w:keepNext/>
        <w:spacing w:before="240" w:after="120"/>
        <w:rPr>
          <w:rFonts w:ascii="Arial" w:eastAsia="Arial" w:hAnsi="Arial"/>
          <w:b/>
          <w:sz w:val="28"/>
          <w:szCs w:val="28"/>
        </w:rPr>
      </w:pPr>
      <w:r>
        <w:rPr>
          <w:rFonts w:ascii="Arial" w:eastAsia="Arial" w:hAnsi="Arial"/>
          <w:b/>
          <w:sz w:val="28"/>
          <w:szCs w:val="28"/>
        </w:rPr>
        <w:t>Word Segment Relationships</w:t>
      </w:r>
    </w:p>
    <w:p w14:paraId="5916AD4B" w14:textId="77777777" w:rsidR="007072D9" w:rsidRDefault="005863DE">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560307FC" w14:textId="77777777" w:rsidR="007072D9" w:rsidRDefault="005863DE">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4D564469"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235E11E5" wp14:editId="6AE13B55">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018B3F46" w14:textId="77777777" w:rsidR="007072D9" w:rsidRDefault="005863DE">
      <w:pPr>
        <w:keepNext/>
        <w:spacing w:before="240" w:after="120"/>
        <w:rPr>
          <w:rFonts w:ascii="Arial" w:eastAsia="Arial" w:hAnsi="Arial"/>
          <w:b/>
          <w:sz w:val="28"/>
          <w:szCs w:val="28"/>
        </w:rPr>
      </w:pPr>
      <w:r>
        <w:rPr>
          <w:rFonts w:ascii="Arial" w:eastAsia="Arial" w:hAnsi="Arial"/>
          <w:b/>
          <w:sz w:val="28"/>
          <w:szCs w:val="28"/>
        </w:rPr>
        <w:t>Discussion</w:t>
      </w:r>
    </w:p>
    <w:p w14:paraId="56070CB6" w14:textId="77777777" w:rsidR="007072D9" w:rsidRDefault="005863DE">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946847623"/>
          <w:citation/>
        </w:sdtPr>
        <w:sdtEndPr/>
        <w:sdtContent>
          <w:r>
            <w:fldChar w:fldCharType="begin"/>
          </w:r>
          <w:r>
            <w:instrText xml:space="preserve">CITATION References.hall1974 \l 1033 </w:instrText>
          </w:r>
          <w:r>
            <w:fldChar w:fldCharType="separate"/>
          </w:r>
          <w:r w:rsidR="00E33F15">
            <w:rPr>
              <w:noProof/>
            </w:rPr>
            <w:t xml:space="preserve"> (Hall 1974)</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1069503763"/>
          <w:citation/>
        </w:sdtPr>
        <w:sdtEndPr/>
        <w:sdtContent>
          <w:r>
            <w:fldChar w:fldCharType="begin"/>
          </w:r>
          <w:r>
            <w:instrText xml:space="preserve">CITATION References.bouckaert2012 \l 1033 </w:instrText>
          </w:r>
          <w:r>
            <w:fldChar w:fldCharType="separate"/>
          </w:r>
          <w:r w:rsidR="00E33F15">
            <w:rPr>
              <w:noProof/>
            </w:rPr>
            <w:t xml:space="preserve"> (Bouckaert, et al. 2012)</w:t>
          </w:r>
          <w:r>
            <w:fldChar w:fldCharType="end"/>
          </w:r>
        </w:sdtContent>
      </w:sdt>
      <w:r>
        <w:rPr>
          <w:rFonts w:ascii="Times New Roman" w:eastAsia="Times New Roman" w:hAnsi="Times New Roman"/>
        </w:rPr>
        <w:t xml:space="preserve"> and sound changes</w:t>
      </w:r>
      <w:sdt>
        <w:sdtPr>
          <w:id w:val="-1323585810"/>
          <w:citation/>
        </w:sdtPr>
        <w:sdtEndPr/>
        <w:sdtContent>
          <w:r>
            <w:fldChar w:fldCharType="begin"/>
          </w:r>
          <w:r>
            <w:instrText xml:space="preserve">CITATION References.straka1956 \l 1033 </w:instrText>
          </w:r>
          <w:r>
            <w:fldChar w:fldCharType="separate"/>
          </w:r>
          <w:r w:rsidR="00E33F15">
            <w:rPr>
              <w:noProof/>
            </w:rPr>
            <w:t xml:space="preserve"> (Straka 1956)</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677F895E"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1443336059"/>
          <w:citation/>
        </w:sdtPr>
        <w:sdtEndPr/>
        <w:sdtContent>
          <w:r>
            <w:fldChar w:fldCharType="begin"/>
          </w:r>
          <w:r>
            <w:instrText xml:space="preserve">CITATION References.bloomfield1933 \l 1033 </w:instrText>
          </w:r>
          <w:r>
            <w:fldChar w:fldCharType="separate"/>
          </w:r>
          <w:r w:rsidR="00E33F15">
            <w:rPr>
              <w:noProof/>
            </w:rPr>
            <w:t xml:space="preserve"> (Bloomfield 1933)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1386560906"/>
          <w:citation/>
        </w:sdtPr>
        <w:sdtEndPr/>
        <w:sdtContent>
          <w:r>
            <w:fldChar w:fldCharType="begin"/>
          </w:r>
          <w:r>
            <w:instrText xml:space="preserve">CITATION References.blevins2004a \l 1033 </w:instrText>
          </w:r>
          <w:r>
            <w:fldChar w:fldCharType="separate"/>
          </w:r>
          <w:r w:rsidR="00E33F15">
            <w:rPr>
              <w:noProof/>
            </w:rPr>
            <w:t xml:space="preserve"> (Blevins 2004)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1867516473"/>
          <w:citation/>
        </w:sdtPr>
        <w:sdtEndPr/>
        <w:sdtContent>
          <w:r>
            <w:fldChar w:fldCharType="begin"/>
          </w:r>
          <w:r>
            <w:instrText xml:space="preserve">CITATION References.chen1975a \l 1033 </w:instrText>
          </w:r>
          <w:r>
            <w:fldChar w:fldCharType="separate"/>
          </w:r>
          <w:r w:rsidR="00E33F15">
            <w:rPr>
              <w:noProof/>
            </w:rPr>
            <w:t xml:space="preserve"> (Chen and Wang 1975)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22C5CBFE"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192F97E2"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51E26CF4" w14:textId="77777777" w:rsidR="007072D9" w:rsidRDefault="005863DE">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767A9ACA" w14:textId="77777777" w:rsidR="007072D9" w:rsidRDefault="005863DE">
      <w:pPr>
        <w:keepNext/>
        <w:spacing w:before="240" w:after="120"/>
        <w:rPr>
          <w:rFonts w:ascii="Arial" w:eastAsia="Arial" w:hAnsi="Arial"/>
          <w:b/>
          <w:sz w:val="28"/>
          <w:szCs w:val="28"/>
        </w:rPr>
      </w:pPr>
      <w:r>
        <w:rPr>
          <w:rFonts w:ascii="Arial" w:eastAsia="Arial" w:hAnsi="Arial"/>
          <w:b/>
          <w:sz w:val="28"/>
          <w:szCs w:val="28"/>
        </w:rPr>
        <w:lastRenderedPageBreak/>
        <w:t>Methods</w:t>
      </w:r>
    </w:p>
    <w:p w14:paraId="58912287" w14:textId="77777777" w:rsidR="007072D9" w:rsidRDefault="005863DE">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52E68BA7" w14:textId="77777777" w:rsidR="007072D9" w:rsidRDefault="005863DE">
      <w:pPr>
        <w:keepNext/>
        <w:spacing w:before="240" w:after="120"/>
        <w:rPr>
          <w:rFonts w:ascii="Arial" w:eastAsia="Arial" w:hAnsi="Arial"/>
          <w:b/>
          <w:sz w:val="28"/>
          <w:szCs w:val="28"/>
        </w:rPr>
      </w:pPr>
      <w:r>
        <w:rPr>
          <w:rFonts w:ascii="Arial" w:eastAsia="Arial" w:hAnsi="Arial"/>
          <w:b/>
          <w:sz w:val="28"/>
          <w:szCs w:val="28"/>
        </w:rPr>
        <w:t>Data</w:t>
      </w:r>
    </w:p>
    <w:p w14:paraId="7188741C" w14:textId="77777777" w:rsidR="007072D9" w:rsidRDefault="005863DE">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130 concepts from the 200-word Swadesh list of basic vocabulary. The initial set of data was downloaded from Wiktionary</w:t>
      </w:r>
      <w:sdt>
        <w:sdtPr>
          <w:id w:val="993758652"/>
          <w:citation/>
        </w:sdtPr>
        <w:sdtEndPr/>
        <w:sdtContent>
          <w:r>
            <w:fldChar w:fldCharType="begin"/>
          </w:r>
          <w:r>
            <w:instrText xml:space="preserve">CITATION References.Wictionary \l 1033 </w:instrText>
          </w:r>
          <w:r>
            <w:fldChar w:fldCharType="separate"/>
          </w:r>
          <w:r w:rsidR="00E33F15">
            <w:rPr>
              <w:noProof/>
            </w:rPr>
            <w:t xml:space="preserve"> (Wiktionary 2021)</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258 cognate sets, 1839 word forms, using 91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1ADB4C56"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6A0C43F3"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7072D9" w14:paraId="04361DA9" w14:textId="77777777">
        <w:trPr>
          <w:jc w:val="center"/>
        </w:trPr>
        <w:tc>
          <w:tcPr>
            <w:tcW w:w="2160" w:type="dxa"/>
            <w:tcBorders>
              <w:bottom w:val="single" w:sz="4" w:space="0" w:color="000000"/>
            </w:tcBorders>
            <w:tcMar>
              <w:top w:w="10" w:type="dxa"/>
              <w:left w:w="10" w:type="dxa"/>
              <w:bottom w:w="10" w:type="dxa"/>
              <w:right w:w="10" w:type="dxa"/>
            </w:tcMar>
          </w:tcPr>
          <w:p w14:paraId="7397B0C5" w14:textId="77777777" w:rsidR="007072D9" w:rsidRDefault="005863DE">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1D655A33" w14:textId="77777777" w:rsidR="007072D9" w:rsidRDefault="005863DE">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544207E7" w14:textId="77777777" w:rsidR="007072D9" w:rsidRDefault="005863DE">
            <w:pPr>
              <w:rPr>
                <w:rFonts w:ascii="Times New Roman" w:eastAsia="Times New Roman" w:hAnsi="Times New Roman"/>
              </w:rPr>
            </w:pPr>
            <w:r>
              <w:rPr>
                <w:rFonts w:ascii="Times New Roman" w:eastAsia="Times New Roman" w:hAnsi="Times New Roman"/>
              </w:rPr>
              <w:t>Alignment</w:t>
            </w:r>
          </w:p>
        </w:tc>
      </w:tr>
      <w:tr w:rsidR="007072D9" w14:paraId="05536ADD" w14:textId="77777777">
        <w:trPr>
          <w:jc w:val="center"/>
        </w:trPr>
        <w:tc>
          <w:tcPr>
            <w:tcW w:w="2160" w:type="dxa"/>
          </w:tcPr>
          <w:p w14:paraId="2B1C8FB9" w14:textId="77777777" w:rsidR="007072D9" w:rsidRDefault="005863DE">
            <w:pPr>
              <w:rPr>
                <w:rFonts w:ascii="Times New Roman" w:eastAsia="Times New Roman" w:hAnsi="Times New Roman"/>
              </w:rPr>
            </w:pPr>
            <w:r>
              <w:rPr>
                <w:rFonts w:ascii="Times New Roman" w:eastAsia="Times New Roman" w:hAnsi="Times New Roman"/>
              </w:rPr>
              <w:t>Latin</w:t>
            </w:r>
          </w:p>
        </w:tc>
        <w:tc>
          <w:tcPr>
            <w:tcW w:w="2520" w:type="dxa"/>
          </w:tcPr>
          <w:p w14:paraId="01C26FF2" w14:textId="77777777" w:rsidR="007072D9" w:rsidRDefault="005863DE">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51A4CF84" w14:textId="77777777">
              <w:tc>
                <w:tcPr>
                  <w:tcW w:w="400" w:type="dxa"/>
                  <w:tcBorders>
                    <w:left w:val="single" w:sz="1" w:space="0" w:color="CCCCCC"/>
                  </w:tcBorders>
                </w:tcPr>
                <w:p w14:paraId="1B4D522F" w14:textId="77777777" w:rsidR="007072D9" w:rsidRDefault="005863DE">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0056A28E"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6A6E506" w14:textId="77777777" w:rsidR="007072D9" w:rsidRDefault="005863D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1BACDCF1" w14:textId="77777777" w:rsidR="007072D9" w:rsidRDefault="005863DE">
                  <w:pPr>
                    <w:jc w:val="center"/>
                    <w:rPr>
                      <w:rFonts w:ascii="Linux Libertine O" w:eastAsia="Linux Libertine O" w:hAnsi="Linux Libertine O"/>
                    </w:rPr>
                  </w:pPr>
                  <w:r>
                    <w:rPr>
                      <w:rFonts w:ascii="Linux Libertine O" w:eastAsia="Linux Libertine O" w:hAnsi="Linux Libertine O"/>
                    </w:rPr>
                    <w:t>d</w:t>
                  </w:r>
                </w:p>
              </w:tc>
            </w:tr>
          </w:tbl>
          <w:p w14:paraId="3AB9CF53" w14:textId="77777777" w:rsidR="007072D9" w:rsidRDefault="007072D9"/>
        </w:tc>
      </w:tr>
      <w:tr w:rsidR="007072D9" w14:paraId="2812508B" w14:textId="77777777">
        <w:trPr>
          <w:jc w:val="center"/>
        </w:trPr>
        <w:tc>
          <w:tcPr>
            <w:tcW w:w="2160" w:type="dxa"/>
          </w:tcPr>
          <w:p w14:paraId="6C374D3D" w14:textId="77777777" w:rsidR="007072D9" w:rsidRDefault="005863DE">
            <w:pPr>
              <w:rPr>
                <w:rFonts w:ascii="Times New Roman" w:eastAsia="Times New Roman" w:hAnsi="Times New Roman"/>
              </w:rPr>
            </w:pPr>
            <w:r>
              <w:rPr>
                <w:rFonts w:ascii="Times New Roman" w:eastAsia="Times New Roman" w:hAnsi="Times New Roman"/>
              </w:rPr>
              <w:t>French</w:t>
            </w:r>
          </w:p>
        </w:tc>
        <w:tc>
          <w:tcPr>
            <w:tcW w:w="2520" w:type="dxa"/>
          </w:tcPr>
          <w:p w14:paraId="209B1CC4" w14:textId="77777777" w:rsidR="007072D9" w:rsidRDefault="005863DE">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28B80401" w14:textId="77777777">
              <w:tc>
                <w:tcPr>
                  <w:tcW w:w="400" w:type="dxa"/>
                  <w:tcBorders>
                    <w:left w:val="single" w:sz="1" w:space="0" w:color="CCCCCC"/>
                  </w:tcBorders>
                </w:tcPr>
                <w:p w14:paraId="79AB4B90"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B7ED4A4" w14:textId="77777777" w:rsidR="007072D9" w:rsidRDefault="005863D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0BB05ED7" w14:textId="77777777" w:rsidR="007072D9" w:rsidRDefault="005863DE">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0833079F"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67E5868" w14:textId="77777777" w:rsidR="007072D9" w:rsidRDefault="007072D9"/>
        </w:tc>
      </w:tr>
      <w:tr w:rsidR="007072D9" w14:paraId="20E2B309" w14:textId="77777777">
        <w:trPr>
          <w:jc w:val="center"/>
        </w:trPr>
        <w:tc>
          <w:tcPr>
            <w:tcW w:w="2160" w:type="dxa"/>
          </w:tcPr>
          <w:p w14:paraId="61A8B844" w14:textId="77777777" w:rsidR="007072D9" w:rsidRDefault="005863DE">
            <w:pPr>
              <w:rPr>
                <w:rFonts w:ascii="Times New Roman" w:eastAsia="Times New Roman" w:hAnsi="Times New Roman"/>
              </w:rPr>
            </w:pPr>
            <w:r>
              <w:rPr>
                <w:rFonts w:ascii="Times New Roman" w:eastAsia="Times New Roman" w:hAnsi="Times New Roman"/>
              </w:rPr>
              <w:t>Spanish</w:t>
            </w:r>
          </w:p>
        </w:tc>
        <w:tc>
          <w:tcPr>
            <w:tcW w:w="2520" w:type="dxa"/>
          </w:tcPr>
          <w:p w14:paraId="20B1E564" w14:textId="77777777" w:rsidR="007072D9" w:rsidRDefault="005863D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491671E0" w14:textId="77777777">
              <w:tc>
                <w:tcPr>
                  <w:tcW w:w="400" w:type="dxa"/>
                  <w:tcBorders>
                    <w:left w:val="single" w:sz="1" w:space="0" w:color="CCCCCC"/>
                  </w:tcBorders>
                </w:tcPr>
                <w:p w14:paraId="63B9FB40"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0E8C2DA"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C882806" w14:textId="77777777" w:rsidR="007072D9" w:rsidRDefault="005863D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7E742759"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D1B719E" w14:textId="77777777" w:rsidR="007072D9" w:rsidRDefault="007072D9"/>
        </w:tc>
      </w:tr>
      <w:tr w:rsidR="007072D9" w14:paraId="28BF0174" w14:textId="77777777">
        <w:trPr>
          <w:jc w:val="center"/>
        </w:trPr>
        <w:tc>
          <w:tcPr>
            <w:tcW w:w="2160" w:type="dxa"/>
          </w:tcPr>
          <w:p w14:paraId="33FB24D4" w14:textId="77777777" w:rsidR="007072D9" w:rsidRDefault="005863DE">
            <w:pPr>
              <w:rPr>
                <w:rFonts w:ascii="Times New Roman" w:eastAsia="Times New Roman" w:hAnsi="Times New Roman"/>
              </w:rPr>
            </w:pPr>
            <w:r>
              <w:rPr>
                <w:rFonts w:ascii="Times New Roman" w:eastAsia="Times New Roman" w:hAnsi="Times New Roman"/>
              </w:rPr>
              <w:t>Italian</w:t>
            </w:r>
          </w:p>
        </w:tc>
        <w:tc>
          <w:tcPr>
            <w:tcW w:w="2520" w:type="dxa"/>
          </w:tcPr>
          <w:p w14:paraId="44C0BA93" w14:textId="77777777" w:rsidR="007072D9" w:rsidRDefault="005863D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5419491D" w14:textId="77777777">
              <w:tc>
                <w:tcPr>
                  <w:tcW w:w="400" w:type="dxa"/>
                  <w:tcBorders>
                    <w:left w:val="single" w:sz="1" w:space="0" w:color="CCCCCC"/>
                  </w:tcBorders>
                </w:tcPr>
                <w:p w14:paraId="30C25FE9"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BE64490"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BE116C3" w14:textId="77777777" w:rsidR="007072D9" w:rsidRDefault="005863D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4533177F"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916BF8A" w14:textId="77777777" w:rsidR="007072D9" w:rsidRDefault="007072D9"/>
        </w:tc>
      </w:tr>
      <w:tr w:rsidR="007072D9" w14:paraId="3F8269B7" w14:textId="77777777">
        <w:trPr>
          <w:jc w:val="center"/>
        </w:trPr>
        <w:tc>
          <w:tcPr>
            <w:tcW w:w="2160" w:type="dxa"/>
          </w:tcPr>
          <w:p w14:paraId="42A77D55" w14:textId="77777777" w:rsidR="007072D9" w:rsidRDefault="005863DE">
            <w:pPr>
              <w:rPr>
                <w:rFonts w:ascii="Times New Roman" w:eastAsia="Times New Roman" w:hAnsi="Times New Roman"/>
              </w:rPr>
            </w:pPr>
            <w:r>
              <w:rPr>
                <w:rFonts w:ascii="Times New Roman" w:eastAsia="Times New Roman" w:hAnsi="Times New Roman"/>
              </w:rPr>
              <w:t>Brazilian Portuguese</w:t>
            </w:r>
          </w:p>
        </w:tc>
        <w:tc>
          <w:tcPr>
            <w:tcW w:w="2520" w:type="dxa"/>
          </w:tcPr>
          <w:p w14:paraId="2E7FF694" w14:textId="77777777" w:rsidR="007072D9" w:rsidRDefault="005863DE">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5E4159A7" w14:textId="77777777">
              <w:tc>
                <w:tcPr>
                  <w:tcW w:w="400" w:type="dxa"/>
                  <w:tcBorders>
                    <w:left w:val="single" w:sz="1" w:space="0" w:color="CCCCCC"/>
                  </w:tcBorders>
                </w:tcPr>
                <w:p w14:paraId="7E23574A"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CD8B5AF"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0BEC189" w14:textId="77777777" w:rsidR="007072D9" w:rsidRDefault="005863D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011358C6"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C193E94" w14:textId="77777777" w:rsidR="007072D9" w:rsidRDefault="007072D9"/>
        </w:tc>
      </w:tr>
      <w:tr w:rsidR="007072D9" w14:paraId="31FD2C8C" w14:textId="77777777">
        <w:trPr>
          <w:jc w:val="center"/>
        </w:trPr>
        <w:tc>
          <w:tcPr>
            <w:tcW w:w="2160" w:type="dxa"/>
          </w:tcPr>
          <w:p w14:paraId="091E62EE" w14:textId="77777777" w:rsidR="007072D9" w:rsidRDefault="005863DE">
            <w:pPr>
              <w:rPr>
                <w:rFonts w:ascii="Times New Roman" w:eastAsia="Times New Roman" w:hAnsi="Times New Roman"/>
              </w:rPr>
            </w:pPr>
            <w:r>
              <w:rPr>
                <w:rFonts w:ascii="Times New Roman" w:eastAsia="Times New Roman" w:hAnsi="Times New Roman"/>
              </w:rPr>
              <w:t>Portuguese</w:t>
            </w:r>
          </w:p>
        </w:tc>
        <w:tc>
          <w:tcPr>
            <w:tcW w:w="2520" w:type="dxa"/>
          </w:tcPr>
          <w:p w14:paraId="6DC608F1" w14:textId="77777777" w:rsidR="007072D9" w:rsidRDefault="005863D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0AD06229" w14:textId="77777777">
              <w:tc>
                <w:tcPr>
                  <w:tcW w:w="400" w:type="dxa"/>
                  <w:tcBorders>
                    <w:left w:val="single" w:sz="1" w:space="0" w:color="CCCCCC"/>
                  </w:tcBorders>
                </w:tcPr>
                <w:p w14:paraId="61520680"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2D04D92"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C3C9130" w14:textId="77777777" w:rsidR="007072D9" w:rsidRDefault="005863DE">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2A9AAC4A"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752791C" w14:textId="77777777" w:rsidR="007072D9" w:rsidRDefault="007072D9"/>
        </w:tc>
      </w:tr>
      <w:tr w:rsidR="007072D9" w14:paraId="7880C5A0" w14:textId="77777777">
        <w:trPr>
          <w:jc w:val="center"/>
        </w:trPr>
        <w:tc>
          <w:tcPr>
            <w:tcW w:w="2160" w:type="dxa"/>
          </w:tcPr>
          <w:p w14:paraId="58A2B69F" w14:textId="77777777" w:rsidR="007072D9" w:rsidRDefault="005863DE">
            <w:pPr>
              <w:rPr>
                <w:rFonts w:ascii="Times New Roman" w:eastAsia="Times New Roman" w:hAnsi="Times New Roman"/>
              </w:rPr>
            </w:pPr>
            <w:r>
              <w:rPr>
                <w:rFonts w:ascii="Times New Roman" w:eastAsia="Times New Roman" w:hAnsi="Times New Roman"/>
              </w:rPr>
              <w:t>Catalan</w:t>
            </w:r>
          </w:p>
        </w:tc>
        <w:tc>
          <w:tcPr>
            <w:tcW w:w="2520" w:type="dxa"/>
          </w:tcPr>
          <w:p w14:paraId="7544E1B4" w14:textId="77777777" w:rsidR="007072D9" w:rsidRDefault="005863D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4FA75E11" w14:textId="77777777">
              <w:tc>
                <w:tcPr>
                  <w:tcW w:w="400" w:type="dxa"/>
                  <w:tcBorders>
                    <w:left w:val="single" w:sz="1" w:space="0" w:color="CCCCCC"/>
                  </w:tcBorders>
                </w:tcPr>
                <w:p w14:paraId="6E939E77"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033209C"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476D15F" w14:textId="77777777" w:rsidR="007072D9" w:rsidRDefault="005863DE">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4D4AF50A"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2D09F6B" w14:textId="77777777" w:rsidR="007072D9" w:rsidRDefault="007072D9"/>
        </w:tc>
      </w:tr>
      <w:tr w:rsidR="007072D9" w14:paraId="7EC8A16C" w14:textId="77777777">
        <w:trPr>
          <w:jc w:val="center"/>
        </w:trPr>
        <w:tc>
          <w:tcPr>
            <w:tcW w:w="2160" w:type="dxa"/>
          </w:tcPr>
          <w:p w14:paraId="7F2A91B1" w14:textId="77777777" w:rsidR="007072D9" w:rsidRDefault="005863DE">
            <w:pPr>
              <w:rPr>
                <w:rFonts w:ascii="Times New Roman" w:eastAsia="Times New Roman" w:hAnsi="Times New Roman"/>
              </w:rPr>
            </w:pPr>
            <w:r>
              <w:rPr>
                <w:rFonts w:ascii="Times New Roman" w:eastAsia="Times New Roman" w:hAnsi="Times New Roman"/>
              </w:rPr>
              <w:t>Walloon</w:t>
            </w:r>
          </w:p>
        </w:tc>
        <w:tc>
          <w:tcPr>
            <w:tcW w:w="2520" w:type="dxa"/>
          </w:tcPr>
          <w:p w14:paraId="1F243C32" w14:textId="77777777" w:rsidR="007072D9" w:rsidRDefault="005863DE">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5F5A67D1" w14:textId="77777777">
              <w:tc>
                <w:tcPr>
                  <w:tcW w:w="400" w:type="dxa"/>
                  <w:tcBorders>
                    <w:left w:val="single" w:sz="1" w:space="0" w:color="CCCCCC"/>
                  </w:tcBorders>
                </w:tcPr>
                <w:p w14:paraId="4C261E9C" w14:textId="77777777" w:rsidR="007072D9" w:rsidRDefault="005863D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D711558" w14:textId="77777777" w:rsidR="007072D9" w:rsidRDefault="005863D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264CC688" w14:textId="77777777" w:rsidR="007072D9" w:rsidRDefault="005863DE">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6A692918"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A4D9E8F" w14:textId="77777777" w:rsidR="007072D9" w:rsidRDefault="007072D9"/>
        </w:tc>
      </w:tr>
      <w:tr w:rsidR="007072D9" w14:paraId="2FF2C2F2" w14:textId="77777777">
        <w:trPr>
          <w:jc w:val="center"/>
        </w:trPr>
        <w:tc>
          <w:tcPr>
            <w:tcW w:w="2160" w:type="dxa"/>
          </w:tcPr>
          <w:p w14:paraId="71E5A564" w14:textId="77777777" w:rsidR="007072D9" w:rsidRDefault="005863DE">
            <w:pPr>
              <w:rPr>
                <w:rFonts w:ascii="Times New Roman" w:eastAsia="Times New Roman" w:hAnsi="Times New Roman"/>
              </w:rPr>
            </w:pPr>
            <w:r>
              <w:rPr>
                <w:rFonts w:ascii="Times New Roman" w:eastAsia="Times New Roman" w:hAnsi="Times New Roman"/>
              </w:rPr>
              <w:t>Friulian</w:t>
            </w:r>
          </w:p>
        </w:tc>
        <w:tc>
          <w:tcPr>
            <w:tcW w:w="2520" w:type="dxa"/>
          </w:tcPr>
          <w:p w14:paraId="1206E298" w14:textId="77777777" w:rsidR="007072D9" w:rsidRDefault="005863D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5AF46AF0" w14:textId="77777777">
              <w:tc>
                <w:tcPr>
                  <w:tcW w:w="400" w:type="dxa"/>
                  <w:tcBorders>
                    <w:left w:val="single" w:sz="1" w:space="0" w:color="CCCCCC"/>
                  </w:tcBorders>
                </w:tcPr>
                <w:p w14:paraId="2D2F9F09" w14:textId="77777777" w:rsidR="007072D9" w:rsidRDefault="005863D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16F4F07E"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DBACB8B" w14:textId="77777777" w:rsidR="007072D9" w:rsidRDefault="005863D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121F6F10"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DB766E1" w14:textId="77777777" w:rsidR="007072D9" w:rsidRDefault="007072D9"/>
        </w:tc>
      </w:tr>
      <w:tr w:rsidR="007072D9" w14:paraId="36DCD9EA" w14:textId="77777777">
        <w:trPr>
          <w:jc w:val="center"/>
        </w:trPr>
        <w:tc>
          <w:tcPr>
            <w:tcW w:w="2160" w:type="dxa"/>
          </w:tcPr>
          <w:p w14:paraId="0F2D8579" w14:textId="77777777" w:rsidR="007072D9" w:rsidRDefault="005863DE">
            <w:pPr>
              <w:rPr>
                <w:rFonts w:ascii="Times New Roman" w:eastAsia="Times New Roman" w:hAnsi="Times New Roman"/>
              </w:rPr>
            </w:pPr>
            <w:r>
              <w:rPr>
                <w:rFonts w:ascii="Times New Roman" w:eastAsia="Times New Roman" w:hAnsi="Times New Roman"/>
              </w:rPr>
              <w:t>Romanian</w:t>
            </w:r>
          </w:p>
        </w:tc>
        <w:tc>
          <w:tcPr>
            <w:tcW w:w="2520" w:type="dxa"/>
          </w:tcPr>
          <w:p w14:paraId="60663857" w14:textId="77777777" w:rsidR="007072D9" w:rsidRDefault="005863D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7072D9" w14:paraId="0611848F" w14:textId="77777777">
              <w:tc>
                <w:tcPr>
                  <w:tcW w:w="400" w:type="dxa"/>
                  <w:tcBorders>
                    <w:left w:val="single" w:sz="1" w:space="0" w:color="CCCCCC"/>
                  </w:tcBorders>
                </w:tcPr>
                <w:p w14:paraId="4C8C4316" w14:textId="77777777" w:rsidR="007072D9" w:rsidRDefault="005863D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3BF688E5"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BEE943A" w14:textId="77777777" w:rsidR="007072D9" w:rsidRDefault="005863D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0AB96983" w14:textId="77777777" w:rsidR="007072D9" w:rsidRDefault="005863D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9171DBD" w14:textId="77777777" w:rsidR="007072D9" w:rsidRDefault="007072D9"/>
        </w:tc>
      </w:tr>
    </w:tbl>
    <w:p w14:paraId="51A0C252" w14:textId="77777777" w:rsidR="007072D9" w:rsidRDefault="007072D9"/>
    <w:p w14:paraId="1F4B953D" w14:textId="77777777" w:rsidR="007072D9" w:rsidRDefault="005863DE">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31A909A5"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3CE3D988" w14:textId="77777777" w:rsidR="007072D9" w:rsidRDefault="005863DE">
      <w:pPr>
        <w:keepNext/>
        <w:spacing w:before="240" w:after="120"/>
        <w:rPr>
          <w:rFonts w:ascii="Arial" w:eastAsia="Arial" w:hAnsi="Arial"/>
          <w:b/>
          <w:sz w:val="28"/>
          <w:szCs w:val="28"/>
        </w:rPr>
      </w:pPr>
      <w:r>
        <w:rPr>
          <w:rFonts w:ascii="Arial" w:eastAsia="Arial" w:hAnsi="Arial"/>
          <w:b/>
          <w:sz w:val="28"/>
          <w:szCs w:val="28"/>
        </w:rPr>
        <w:t>Model and Statistical Inference</w:t>
      </w:r>
    </w:p>
    <w:p w14:paraId="0C1D010A" w14:textId="77777777" w:rsidR="007072D9" w:rsidRDefault="005863DE">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2029984595"/>
          <w:citation/>
        </w:sdtPr>
        <w:sdtEndPr/>
        <w:sdtContent>
          <w:r>
            <w:fldChar w:fldCharType="begin"/>
          </w:r>
          <w:r>
            <w:instrText xml:space="preserve">CITATION References.thorne91 \l 1033 </w:instrText>
          </w:r>
          <w:r>
            <w:fldChar w:fldCharType="separate"/>
          </w:r>
          <w:r w:rsidR="00E33F15">
            <w:rPr>
              <w:noProof/>
            </w:rPr>
            <w:t xml:space="preserve"> (Thorne, Kishino and Felsenstein 1991)</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91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4FBD8CD0"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35CFD989" w14:textId="77777777" w:rsidR="007072D9" w:rsidRDefault="005863DE">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01D92BAC"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1222211626"/>
          <w:citation/>
        </w:sdtPr>
        <w:sdtEndPr/>
        <w:sdtContent>
          <w:r>
            <w:fldChar w:fldCharType="begin"/>
          </w:r>
          <w:r>
            <w:instrText xml:space="preserve">CITATION References.lunter2003 \l 1033 </w:instrText>
          </w:r>
          <w:r>
            <w:fldChar w:fldCharType="separate"/>
          </w:r>
          <w:r w:rsidR="00E33F15">
            <w:rPr>
              <w:noProof/>
            </w:rPr>
            <w:t xml:space="preserve"> (Lunter, Miklós and Song, An efficient algorithm for statistical multiple alignment on arbitrary phylogenetic trees 2003)</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2017912706"/>
          <w:citation/>
        </w:sdtPr>
        <w:sdtEndPr/>
        <w:sdtContent>
          <w:r>
            <w:fldChar w:fldCharType="begin"/>
          </w:r>
          <w:r>
            <w:instrText xml:space="preserve">CITATION References.lunter04 \l 1033 </w:instrText>
          </w:r>
          <w:r>
            <w:fldChar w:fldCharType="separate"/>
          </w:r>
          <w:r w:rsidR="00E33F15">
            <w:rPr>
              <w:noProof/>
            </w:rPr>
            <w:t xml:space="preserve"> (Lunter, Drummond, et al. 2004)</w:t>
          </w:r>
          <w:r>
            <w:fldChar w:fldCharType="end"/>
          </w:r>
        </w:sdtContent>
      </w:sdt>
      <w:r>
        <w:rPr>
          <w:rFonts w:ascii="Times New Roman" w:eastAsia="Times New Roman" w:hAnsi="Times New Roman"/>
        </w:rPr>
        <w:t xml:space="preserve">. </w:t>
      </w:r>
    </w:p>
    <w:p w14:paraId="036D233B"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230158099"/>
          <w:citation/>
        </w:sdtPr>
        <w:sdtEndPr/>
        <w:sdtContent>
          <w:r>
            <w:fldChar w:fldCharType="begin"/>
          </w:r>
          <w:r>
            <w:instrText xml:space="preserve">CITATION References.Lartillot2006 \l 1033 </w:instrText>
          </w:r>
          <w:r>
            <w:fldChar w:fldCharType="separate"/>
          </w:r>
          <w:r w:rsidR="00E33F15">
            <w:rPr>
              <w:noProof/>
            </w:rPr>
            <w:t xml:space="preserve"> (Lartillot and Philippe 2006)</w:t>
          </w:r>
          <w:r>
            <w:fldChar w:fldCharType="end"/>
          </w:r>
        </w:sdtContent>
      </w:sdt>
      <w:r>
        <w:rPr>
          <w:rFonts w:ascii="Times New Roman" w:eastAsia="Times New Roman" w:hAnsi="Times New Roman"/>
        </w:rPr>
        <w:t xml:space="preserve">. </w:t>
      </w:r>
    </w:p>
    <w:p w14:paraId="0CED3554"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1729528658"/>
          <w:citation/>
        </w:sdtPr>
        <w:sdtEndPr/>
        <w:sdtContent>
          <w:r>
            <w:fldChar w:fldCharType="begin"/>
          </w:r>
          <w:r>
            <w:instrText xml:space="preserve">CITATION References.jukes69 \l 1033 </w:instrText>
          </w:r>
          <w:r>
            <w:fldChar w:fldCharType="separate"/>
          </w:r>
          <w:r w:rsidR="00E33F15">
            <w:rPr>
              <w:noProof/>
            </w:rPr>
            <w:t xml:space="preserve"> (Jukes and Cantor 1969)</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(91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1759945289"/>
          <w:citation/>
        </w:sdtPr>
        <w:sdtEndPr/>
        <w:sdtContent>
          <w:r>
            <w:fldChar w:fldCharType="begin"/>
          </w:r>
          <w:r>
            <w:instrText xml:space="preserve">CITATION References.tavare86 \l 1033 </w:instrText>
          </w:r>
          <w:r>
            <w:fldChar w:fldCharType="separate"/>
          </w:r>
          <w:r w:rsidR="00E33F15">
            <w:rPr>
              <w:noProof/>
            </w:rPr>
            <w:t xml:space="preserve"> (Tavaré 1986)</w:t>
          </w:r>
          <w:r>
            <w:fldChar w:fldCharType="end"/>
          </w:r>
        </w:sdtContent>
      </w:sdt>
      <w:r>
        <w:rPr>
          <w:rFonts w:ascii="Times New Roman" w:eastAsia="Times New Roman" w:hAnsi="Times New Roman"/>
        </w:rPr>
        <w:t>, and has a large number of parameters (91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0323860A" w14:textId="77777777" w:rsidR="007072D9" w:rsidRDefault="005863DE">
      <w:pPr>
        <w:keepNext/>
        <w:spacing w:before="240" w:after="120"/>
        <w:rPr>
          <w:rFonts w:ascii="Arial" w:eastAsia="Arial" w:hAnsi="Arial"/>
          <w:b/>
          <w:sz w:val="28"/>
          <w:szCs w:val="28"/>
        </w:rPr>
      </w:pPr>
      <w:r>
        <w:rPr>
          <w:rFonts w:ascii="Arial" w:eastAsia="Arial" w:hAnsi="Arial"/>
          <w:b/>
          <w:sz w:val="28"/>
          <w:szCs w:val="28"/>
        </w:rPr>
        <w:t>Data Curation and Analyses</w:t>
      </w:r>
    </w:p>
    <w:p w14:paraId="04D9F080" w14:textId="77777777" w:rsidR="007072D9" w:rsidRDefault="005863DE">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1025450345"/>
          <w:citation/>
        </w:sdtPr>
        <w:sdtEndPr/>
        <w:sdtContent>
          <w:r>
            <w:fldChar w:fldCharType="begin"/>
          </w:r>
          <w:r>
            <w:instrText xml:space="preserve">CITATION References.nytrilprogram \l 1033 </w:instrText>
          </w:r>
          <w:r>
            <w:fldChar w:fldCharType="separate"/>
          </w:r>
          <w:r w:rsidR="00E33F15">
            <w:rPr>
              <w:noProof/>
            </w:rPr>
            <w:t xml:space="preserve"> (McCreight and Colbert 2021)</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37EC1A49"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77B94225" w14:textId="77777777" w:rsidR="007072D9" w:rsidRDefault="005863DE">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192B7516"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programmers working in linguistics is that the IPA representation of words are expresse</w:t>
      </w:r>
      <w:r>
        <w:rPr>
          <w:rFonts w:ascii="Times New Roman" w:eastAsia="Times New Roman" w:hAnsi="Times New Roman"/>
        </w:rPr>
        <w:t>d in Unicode (UCS), not ASCII or ANSI. This requires care with file formats, text encodings and diacritic compositional form. Each text string can comprise several UCS code-points, so that there is not a one-to-one mapping between string characters and seg</w:t>
      </w:r>
      <w:r>
        <w:rPr>
          <w:rFonts w:ascii="Times New Roman" w:eastAsia="Times New Roman" w:hAnsi="Times New Roman"/>
        </w:rPr>
        <w:t xml:space="preserve">ments. Below is a an example of a more complex encoding. The numbers in grey are the hexadecimal UCS code points for the letters and diacritics. </w:t>
      </w:r>
    </w:p>
    <w:p w14:paraId="33379958" w14:textId="77777777" w:rsidR="007072D9" w:rsidRDefault="005863DE">
      <w:pPr>
        <w:spacing w:after="120"/>
        <w:jc w:val="center"/>
        <w:rPr>
          <w:rFonts w:ascii="Times New Roman" w:eastAsia="Times New Roman" w:hAnsi="Times New Roman"/>
        </w:rPr>
      </w:pPr>
      <w:r>
        <w:rPr>
          <w:noProof/>
        </w:rPr>
        <mc:AlternateContent>
          <mc:Choice Requires="wps">
            <w:drawing>
              <wp:inline distT="0" distB="0" distL="0" distR="0" wp14:anchorId="5DAE0E1C" wp14:editId="7960271A">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6DA616A6" w14:textId="77777777" w:rsidR="007072D9" w:rsidRDefault="005863D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17BFCF13" w14:textId="77777777" w:rsidR="007072D9" w:rsidRDefault="005863D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477CD9E" w14:textId="77777777" w:rsidR="007072D9" w:rsidRDefault="005863D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5DAE0E1C"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6DA616A6" w14:textId="77777777" w:rsidR="007072D9" w:rsidRDefault="005863D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17BFCF13" w14:textId="77777777" w:rsidR="007072D9" w:rsidRDefault="005863D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477CD9E" w14:textId="77777777" w:rsidR="007072D9" w:rsidRDefault="005863D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7702A254"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3B1A56CB" w14:textId="77777777" w:rsidR="007072D9" w:rsidRDefault="005863DE">
      <w:pPr>
        <w:spacing w:before="120"/>
        <w:ind w:firstLine="360"/>
        <w:jc w:val="both"/>
        <w:rPr>
          <w:rFonts w:ascii="Times New Roman" w:eastAsia="Times New Roman" w:hAnsi="Times New Roman"/>
        </w:rPr>
      </w:pPr>
      <w:r>
        <w:rPr>
          <w:rFonts w:ascii="Times New Roman" w:eastAsia="Times New Roman" w:hAnsi="Times New Roman"/>
        </w:rPr>
        <w:lastRenderedPageBreak/>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7C808155" w14:textId="77777777" w:rsidR="007072D9" w:rsidRDefault="005863DE">
      <w:pPr>
        <w:keepNext/>
        <w:spacing w:before="240" w:after="120"/>
        <w:rPr>
          <w:rFonts w:ascii="Arial" w:eastAsia="Arial" w:hAnsi="Arial"/>
          <w:b/>
          <w:sz w:val="28"/>
          <w:szCs w:val="28"/>
        </w:rPr>
      </w:pPr>
      <w:r>
        <w:rPr>
          <w:rFonts w:ascii="Arial" w:eastAsia="Arial" w:hAnsi="Arial"/>
          <w:b/>
          <w:sz w:val="28"/>
          <w:szCs w:val="28"/>
        </w:rPr>
        <w:t>Acknowledgements</w:t>
      </w:r>
    </w:p>
    <w:p w14:paraId="68EEA70B" w14:textId="77777777" w:rsidR="007072D9" w:rsidRDefault="005863DE">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268B32EE" w14:textId="77777777" w:rsidR="007072D9" w:rsidRDefault="005863DE">
      <w:pPr>
        <w:keepNext/>
        <w:spacing w:before="240" w:after="120"/>
        <w:rPr>
          <w:rFonts w:ascii="Arial" w:eastAsia="Arial" w:hAnsi="Arial"/>
          <w:b/>
          <w:sz w:val="28"/>
          <w:szCs w:val="28"/>
        </w:rPr>
      </w:pPr>
      <w:r>
        <w:rPr>
          <w:rFonts w:ascii="Arial" w:eastAsia="Arial" w:hAnsi="Arial"/>
          <w:b/>
          <w:sz w:val="28"/>
          <w:szCs w:val="28"/>
        </w:rPr>
        <w:t>Author contributions statement</w:t>
      </w:r>
    </w:p>
    <w:p w14:paraId="452D9772" w14:textId="77777777" w:rsidR="007072D9" w:rsidRDefault="005863DE">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0117D918" w14:textId="77777777" w:rsidR="007072D9" w:rsidRDefault="007072D9">
      <w:pPr>
        <w:sectPr w:rsidR="007072D9">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1311752654"/>
        <w:bibliography/>
      </w:sdtPr>
      <w:sdtEndPr/>
      <w:sdtContent>
        <w:p w14:paraId="0AF017AF" w14:textId="77777777" w:rsidR="007072D9" w:rsidRDefault="005863DE">
          <w:r>
            <w:t>Bibliography</w:t>
          </w:r>
        </w:p>
        <w:p w14:paraId="37C93D43" w14:textId="77777777" w:rsidR="00E33F15" w:rsidRDefault="005863DE" w:rsidP="00E33F15">
          <w:pPr>
            <w:pStyle w:val="Bibliography"/>
            <w:ind w:left="720" w:hanging="720"/>
            <w:rPr>
              <w:noProof/>
              <w:sz w:val="24"/>
              <w:szCs w:val="24"/>
            </w:rPr>
          </w:pPr>
          <w:r>
            <w:fldChar w:fldCharType="begin"/>
          </w:r>
          <w:r>
            <w:instrText xml:space="preserve"> BIBLIOGRAPHY </w:instrText>
          </w:r>
          <w:r>
            <w:fldChar w:fldCharType="separate"/>
          </w:r>
          <w:r w:rsidR="00E33F15">
            <w:rPr>
              <w:noProof/>
            </w:rPr>
            <w:t xml:space="preserve">Blevins, Juliette. 2004. </w:t>
          </w:r>
          <w:r w:rsidR="00E33F15">
            <w:rPr>
              <w:i/>
              <w:iCs/>
              <w:noProof/>
            </w:rPr>
            <w:t>Evolutionary phonology.</w:t>
          </w:r>
          <w:r w:rsidR="00E33F15">
            <w:rPr>
              <w:noProof/>
            </w:rPr>
            <w:t xml:space="preserve"> Cambridge University Press. doi:10.1017/CBO9780511486357.</w:t>
          </w:r>
        </w:p>
        <w:p w14:paraId="3E400A85" w14:textId="77777777" w:rsidR="00E33F15" w:rsidRDefault="00E33F15" w:rsidP="00E33F15">
          <w:pPr>
            <w:pStyle w:val="Bibliography"/>
            <w:ind w:left="720" w:hanging="720"/>
            <w:rPr>
              <w:noProof/>
            </w:rPr>
          </w:pPr>
          <w:r>
            <w:rPr>
              <w:noProof/>
            </w:rPr>
            <w:t xml:space="preserve">Bloomfield, Leonard. 1933. </w:t>
          </w:r>
          <w:r>
            <w:rPr>
              <w:i/>
              <w:iCs/>
              <w:noProof/>
            </w:rPr>
            <w:t>Language.</w:t>
          </w:r>
          <w:r>
            <w:rPr>
              <w:noProof/>
            </w:rPr>
            <w:t xml:space="preserve"> H. Holt and Company.</w:t>
          </w:r>
        </w:p>
        <w:p w14:paraId="39E063F0" w14:textId="77777777" w:rsidR="00E33F15" w:rsidRDefault="00E33F15" w:rsidP="00E33F15">
          <w:pPr>
            <w:pStyle w:val="Bibliography"/>
            <w:ind w:left="720" w:hanging="720"/>
            <w:rPr>
              <w:noProof/>
            </w:rPr>
          </w:pPr>
          <w:r>
            <w:rPr>
              <w:noProof/>
            </w:rPr>
            <w:t>Bouchard-Côté, A., D. Hall, T. L. Griffiths, and D. Klein. 2013. "Automated reconstruction of ancient languages using probabilistic models of sound change." 4224-4229.</w:t>
          </w:r>
        </w:p>
        <w:p w14:paraId="7066BCEF" w14:textId="77777777" w:rsidR="00E33F15" w:rsidRDefault="00E33F15" w:rsidP="00E33F15">
          <w:pPr>
            <w:pStyle w:val="Bibliography"/>
            <w:ind w:left="720" w:hanging="720"/>
            <w:rPr>
              <w:noProof/>
            </w:rPr>
          </w:pPr>
          <w:r>
            <w:rPr>
              <w:noProof/>
            </w:rPr>
            <w:t>Bouckaert, Remco R., Philippe Lemey, Michael Dunn, Simon J. Greenhill, Alexander V. Alekseyenko, Alexei J. Drummond, Russell D. Gray, Marc A. Suchard, and Quentin D. Atkinson. 2012. "Mapping the origins and expansion of the Indo-European language family." 8: 957-960. doi:10.1126/science.1219669.</w:t>
          </w:r>
        </w:p>
        <w:p w14:paraId="306B195B" w14:textId="77777777" w:rsidR="00E33F15" w:rsidRDefault="00E33F15" w:rsidP="00E33F15">
          <w:pPr>
            <w:pStyle w:val="Bibliography"/>
            <w:ind w:left="720" w:hanging="720"/>
            <w:rPr>
              <w:noProof/>
            </w:rPr>
          </w:pPr>
          <w:r>
            <w:rPr>
              <w:noProof/>
            </w:rPr>
            <w:t>Bowern, Claire, and Quentin D. Atkinson. 2012. "Computational phylogenetics and the internal structure of Pama-Nyungan." 12: 817-845. doi:10.1353/lan.2012.0081.</w:t>
          </w:r>
        </w:p>
        <w:p w14:paraId="17B88DB4" w14:textId="77777777" w:rsidR="00E33F15" w:rsidRDefault="00E33F15" w:rsidP="00E33F15">
          <w:pPr>
            <w:pStyle w:val="Bibliography"/>
            <w:ind w:left="720" w:hanging="720"/>
            <w:rPr>
              <w:noProof/>
            </w:rPr>
          </w:pPr>
          <w:r>
            <w:rPr>
              <w:noProof/>
            </w:rPr>
            <w:t>Chang, Will, Chundra Aroor Cathcart, David P. Hall, and Andrew J. Garrett. 2015. "Ancestry-constrained phylogenetic analysis supports the Indo-European steppe hypothesis." 3: 194-244. doi:10.1353/lan.2015.0005.</w:t>
          </w:r>
        </w:p>
        <w:p w14:paraId="1E20FD79" w14:textId="77777777" w:rsidR="00E33F15" w:rsidRDefault="00E33F15" w:rsidP="00E33F15">
          <w:pPr>
            <w:pStyle w:val="Bibliography"/>
            <w:ind w:left="720" w:hanging="720"/>
            <w:rPr>
              <w:noProof/>
            </w:rPr>
          </w:pPr>
          <w:r>
            <w:rPr>
              <w:noProof/>
            </w:rPr>
            <w:t>Chen, Matthew Y., and William S.-Y. Wang. 1975. "Sound change." 255-281. doi:10.2307/412854.</w:t>
          </w:r>
        </w:p>
        <w:p w14:paraId="72A8BE94" w14:textId="77777777" w:rsidR="00E33F15" w:rsidRDefault="00E33F15" w:rsidP="00E33F15">
          <w:pPr>
            <w:pStyle w:val="Bibliography"/>
            <w:ind w:left="720" w:hanging="720"/>
            <w:rPr>
              <w:noProof/>
            </w:rPr>
          </w:pPr>
          <w:r>
            <w:rPr>
              <w:noProof/>
            </w:rPr>
            <w:t>2020. "Distinctive Feature." Wikipedia. en.wikipedia.org/wiki/Distinctive_feature.</w:t>
          </w:r>
        </w:p>
        <w:p w14:paraId="4EA439BD" w14:textId="77777777" w:rsidR="00E33F15" w:rsidRDefault="00E33F15" w:rsidP="00E33F15">
          <w:pPr>
            <w:pStyle w:val="Bibliography"/>
            <w:ind w:left="720" w:hanging="720"/>
            <w:rPr>
              <w:noProof/>
            </w:rPr>
          </w:pPr>
          <w:r>
            <w:rPr>
              <w:noProof/>
            </w:rPr>
            <w:t xml:space="preserve">2019. </w:t>
          </w:r>
          <w:r>
            <w:rPr>
              <w:i/>
              <w:iCs/>
              <w:noProof/>
            </w:rPr>
            <w:t>Extended Speech Assessment Methods Phonetic Alphabet.</w:t>
          </w:r>
          <w:r>
            <w:rPr>
              <w:noProof/>
            </w:rPr>
            <w:t xml:space="preserve"> Wikipedia. en.wikipedia.org/wiki/X-SAMPA.</w:t>
          </w:r>
        </w:p>
        <w:p w14:paraId="0D47D8D0" w14:textId="77777777" w:rsidR="00E33F15" w:rsidRDefault="00E33F15" w:rsidP="00E33F15">
          <w:pPr>
            <w:pStyle w:val="Bibliography"/>
            <w:ind w:left="720" w:hanging="720"/>
            <w:rPr>
              <w:noProof/>
            </w:rPr>
          </w:pPr>
          <w:r>
            <w:rPr>
              <w:noProof/>
            </w:rPr>
            <w:t>Gojobori, Takashi. 1988. "To be determined."</w:t>
          </w:r>
        </w:p>
        <w:p w14:paraId="18554C2D" w14:textId="77777777" w:rsidR="00E33F15" w:rsidRDefault="00E33F15" w:rsidP="00E33F15">
          <w:pPr>
            <w:pStyle w:val="Bibliography"/>
            <w:ind w:left="720" w:hanging="720"/>
            <w:rPr>
              <w:noProof/>
            </w:rPr>
          </w:pPr>
          <w:r>
            <w:rPr>
              <w:noProof/>
            </w:rPr>
            <w:t>Gray, Russell D., and Fiona M. Jordan. 2000. "Language trees support the express-train sequence of Austronesian expansion." 1052-1055. doi:10.1038/35016575.</w:t>
          </w:r>
        </w:p>
        <w:p w14:paraId="1B581F0F" w14:textId="77777777" w:rsidR="00E33F15" w:rsidRDefault="00E33F15" w:rsidP="00E33F15">
          <w:pPr>
            <w:pStyle w:val="Bibliography"/>
            <w:ind w:left="720" w:hanging="720"/>
            <w:rPr>
              <w:noProof/>
            </w:rPr>
          </w:pPr>
          <w:r>
            <w:rPr>
              <w:noProof/>
            </w:rPr>
            <w:t>Gray, Russell D., and Quentin D. Atkinson. 2003. "Language-tree divergence times support the Anatolian theory of Indo-European origin." 435-439. doi:10.1038/nature02029.</w:t>
          </w:r>
        </w:p>
        <w:p w14:paraId="1EAC4B95" w14:textId="77777777" w:rsidR="00E33F15" w:rsidRDefault="00E33F15" w:rsidP="00E33F15">
          <w:pPr>
            <w:pStyle w:val="Bibliography"/>
            <w:ind w:left="720" w:hanging="720"/>
            <w:rPr>
              <w:noProof/>
            </w:rPr>
          </w:pPr>
          <w:r>
            <w:rPr>
              <w:noProof/>
            </w:rPr>
            <w:t xml:space="preserve">Hall, Robert A. 1974. </w:t>
          </w:r>
          <w:r>
            <w:rPr>
              <w:i/>
              <w:iCs/>
              <w:noProof/>
            </w:rPr>
            <w:t>External history of the Romance languages.</w:t>
          </w:r>
          <w:r>
            <w:rPr>
              <w:noProof/>
            </w:rPr>
            <w:t xml:space="preserve"> Elsevier.</w:t>
          </w:r>
        </w:p>
        <w:p w14:paraId="52DC5165" w14:textId="77777777" w:rsidR="00E33F15" w:rsidRDefault="00E33F15" w:rsidP="00E33F15">
          <w:pPr>
            <w:pStyle w:val="Bibliography"/>
            <w:ind w:left="720" w:hanging="720"/>
            <w:rPr>
              <w:noProof/>
            </w:rPr>
          </w:pPr>
          <w:r>
            <w:rPr>
              <w:noProof/>
            </w:rPr>
            <w:t>Hastings, W. K. 1970. "Monte Carlo sampling methods using Markov chains and their applications." 97-109.</w:t>
          </w:r>
        </w:p>
        <w:p w14:paraId="692B675B" w14:textId="77777777" w:rsidR="00E33F15" w:rsidRDefault="00E33F15" w:rsidP="00E33F15">
          <w:pPr>
            <w:pStyle w:val="Bibliography"/>
            <w:ind w:left="720" w:hanging="720"/>
            <w:rPr>
              <w:noProof/>
            </w:rPr>
          </w:pPr>
          <w:r>
            <w:rPr>
              <w:noProof/>
            </w:rPr>
            <w:t>Höhna, Sebastian, Landis, Heath, Boussau, Lartillot, Moore, John P. Huelsenbeck, and Ronquist. 2016. "RevBayes: Bayesian phylogenetic inference using graphical models and an interactive model-specification language." Systematic Biology. 65:726-736. Accessed 2021. www.revbayes.com.</w:t>
          </w:r>
        </w:p>
        <w:p w14:paraId="4128FBD4" w14:textId="77777777" w:rsidR="00E33F15" w:rsidRDefault="00E33F15" w:rsidP="00E33F15">
          <w:pPr>
            <w:pStyle w:val="Bibliography"/>
            <w:ind w:left="720" w:hanging="720"/>
            <w:rPr>
              <w:noProof/>
            </w:rPr>
          </w:pPr>
          <w:r>
            <w:rPr>
              <w:noProof/>
            </w:rPr>
            <w:t>Holden, Clare Janaki. 2002. "Bantu language trees reflect the spread of farming across sub-Saharan Africa." 793-799. doi:10.1098/rspb.2002.1955.</w:t>
          </w:r>
        </w:p>
        <w:p w14:paraId="5C51D1D3" w14:textId="77777777" w:rsidR="00E33F15" w:rsidRDefault="00E33F15" w:rsidP="00E33F15">
          <w:pPr>
            <w:pStyle w:val="Bibliography"/>
            <w:ind w:left="720" w:hanging="720"/>
            <w:rPr>
              <w:noProof/>
            </w:rPr>
          </w:pPr>
          <w:r>
            <w:rPr>
              <w:noProof/>
            </w:rPr>
            <w:t>2019. "International Phonetic Alphabet." Wikipedia. en.wikipedia.org/wiki/International_Phonetic_Alphabet.</w:t>
          </w:r>
        </w:p>
        <w:p w14:paraId="49EB7560" w14:textId="77777777" w:rsidR="00E33F15" w:rsidRDefault="00E33F15" w:rsidP="00E33F15">
          <w:pPr>
            <w:pStyle w:val="Bibliography"/>
            <w:ind w:left="720" w:hanging="720"/>
            <w:rPr>
              <w:noProof/>
            </w:rPr>
          </w:pPr>
          <w:r>
            <w:rPr>
              <w:noProof/>
            </w:rPr>
            <w:t>2019. "IPA Symbols Chart Complete." InternationalPhoneticAlphabet.org. www.internationalphoneticalphabet.org/ipa-charts/ipa-symbols-chart-complete.</w:t>
          </w:r>
        </w:p>
        <w:p w14:paraId="6902C907" w14:textId="77777777" w:rsidR="00E33F15" w:rsidRDefault="00E33F15" w:rsidP="00E33F15">
          <w:pPr>
            <w:pStyle w:val="Bibliography"/>
            <w:ind w:left="720" w:hanging="720"/>
            <w:rPr>
              <w:noProof/>
            </w:rPr>
          </w:pPr>
          <w:r>
            <w:rPr>
              <w:noProof/>
            </w:rPr>
            <w:t>Jukes, T. H., and C. R. Cantor. 1969. "Evolution of protein molecules." Academic Press. 21-123.</w:t>
          </w:r>
        </w:p>
        <w:p w14:paraId="2AE6F3A0" w14:textId="77777777" w:rsidR="00E33F15" w:rsidRDefault="00E33F15" w:rsidP="00E33F15">
          <w:pPr>
            <w:pStyle w:val="Bibliography"/>
            <w:ind w:left="720" w:hanging="720"/>
            <w:rPr>
              <w:noProof/>
            </w:rPr>
          </w:pPr>
          <w:r>
            <w:rPr>
              <w:noProof/>
            </w:rPr>
            <w:t>Koutna, Olga, Hans-Josef Niederehe, and Konrad E. F. Koerner. 1990. "On the history of classifications in the Romance language group." (John Benjamins) 1: 287-300. doi:10.1075/sihols.51.1.31kou.</w:t>
          </w:r>
        </w:p>
        <w:p w14:paraId="791D120B" w14:textId="77777777" w:rsidR="00E33F15" w:rsidRDefault="00E33F15" w:rsidP="00E33F15">
          <w:pPr>
            <w:pStyle w:val="Bibliography"/>
            <w:ind w:left="720" w:hanging="720"/>
            <w:rPr>
              <w:noProof/>
            </w:rPr>
          </w:pPr>
          <w:r>
            <w:rPr>
              <w:noProof/>
            </w:rPr>
            <w:t>Lartillot, Nicolas, and Hervé Philippe. 2006. "Computing Bayes factors using thermodynamic integration." 4: 195-207.</w:t>
          </w:r>
        </w:p>
        <w:p w14:paraId="6B4A36CA" w14:textId="77777777" w:rsidR="00E33F15" w:rsidRDefault="00E33F15" w:rsidP="00E33F15">
          <w:pPr>
            <w:pStyle w:val="Bibliography"/>
            <w:ind w:left="720" w:hanging="720"/>
            <w:rPr>
              <w:noProof/>
            </w:rPr>
          </w:pPr>
          <w:r>
            <w:rPr>
              <w:noProof/>
            </w:rPr>
            <w:t>Lewis, Paul O. 2001. "A likelihood approach to estimating phylogeny from discrete morphological character data." 913-925.</w:t>
          </w:r>
        </w:p>
        <w:p w14:paraId="1924DAE5" w14:textId="77777777" w:rsidR="00E33F15" w:rsidRDefault="00E33F15" w:rsidP="00E33F15">
          <w:pPr>
            <w:pStyle w:val="Bibliography"/>
            <w:ind w:left="720" w:hanging="720"/>
            <w:rPr>
              <w:noProof/>
            </w:rPr>
          </w:pPr>
          <w:r>
            <w:rPr>
              <w:noProof/>
            </w:rPr>
            <w:t>Lunter, G A, Alexei J. Drummond, I Miklós, and R. Nielsen. 2004. "Statistical Alignment: Recent Progress, New Applications, and Challenges." (Springer Verlag) (Series in Statistics in Health and Medicine).</w:t>
          </w:r>
        </w:p>
        <w:p w14:paraId="35EE523E" w14:textId="77777777" w:rsidR="00E33F15" w:rsidRDefault="00E33F15" w:rsidP="00E33F15">
          <w:pPr>
            <w:pStyle w:val="Bibliography"/>
            <w:ind w:left="720" w:hanging="720"/>
            <w:rPr>
              <w:noProof/>
            </w:rPr>
          </w:pPr>
          <w:r>
            <w:rPr>
              <w:noProof/>
            </w:rPr>
            <w:t>Lunter, G A, I Miklós, and Y S Song. 2003. "An efficient algorithm for statistical multiple alignment on arbitrary phylogenetic trees." 869-889.</w:t>
          </w:r>
        </w:p>
        <w:p w14:paraId="12D5E034" w14:textId="77777777" w:rsidR="00E33F15" w:rsidRDefault="00E33F15" w:rsidP="00E33F15">
          <w:pPr>
            <w:pStyle w:val="Bibliography"/>
            <w:ind w:left="720" w:hanging="720"/>
            <w:rPr>
              <w:noProof/>
            </w:rPr>
          </w:pPr>
          <w:r>
            <w:rPr>
              <w:noProof/>
            </w:rPr>
            <w:t>Malkiel, Yakov. 1978. "The classification of romance languages." 467-500.</w:t>
          </w:r>
        </w:p>
        <w:p w14:paraId="3206EFE7" w14:textId="77777777" w:rsidR="00E33F15" w:rsidRDefault="00E33F15" w:rsidP="00E33F15">
          <w:pPr>
            <w:pStyle w:val="Bibliography"/>
            <w:ind w:left="720" w:hanging="720"/>
            <w:rPr>
              <w:noProof/>
            </w:rPr>
          </w:pPr>
          <w:r>
            <w:rPr>
              <w:noProof/>
            </w:rPr>
            <w:t>McCreight, Shawn H., and John Paul Colbert. 2021. "The Nytril Programming Language." Nytril LLC. www.nytril.com.</w:t>
          </w:r>
        </w:p>
        <w:p w14:paraId="4F2E2F8F" w14:textId="77777777" w:rsidR="00E33F15" w:rsidRDefault="00E33F15" w:rsidP="00E33F15">
          <w:pPr>
            <w:pStyle w:val="Bibliography"/>
            <w:ind w:left="720" w:hanging="720"/>
            <w:rPr>
              <w:noProof/>
            </w:rPr>
          </w:pPr>
          <w:r>
            <w:rPr>
              <w:noProof/>
            </w:rPr>
            <w:t>Metropolis, N., A. W. Rosenbluth, M. N. Rosenbluth, A. H. Teller, and E. Teller. 1953. "Equation of state calculations by fast computing machines." 1087-1092.</w:t>
          </w:r>
        </w:p>
        <w:p w14:paraId="39E35518" w14:textId="77777777" w:rsidR="00E33F15" w:rsidRDefault="00E33F15" w:rsidP="00E33F15">
          <w:pPr>
            <w:pStyle w:val="Bibliography"/>
            <w:ind w:left="720" w:hanging="720"/>
            <w:rPr>
              <w:noProof/>
            </w:rPr>
          </w:pPr>
          <w:r>
            <w:rPr>
              <w:noProof/>
            </w:rPr>
            <w:t>Ohala, John J. 2003. "Phonetics and historical phonology." (Wiley-Blackwell) 669-686. doi:10.1002/9781405166201.ch22.</w:t>
          </w:r>
        </w:p>
        <w:p w14:paraId="614452E2" w14:textId="77777777" w:rsidR="00E33F15" w:rsidRDefault="00E33F15" w:rsidP="00E33F15">
          <w:pPr>
            <w:pStyle w:val="Bibliography"/>
            <w:ind w:left="720" w:hanging="720"/>
            <w:rPr>
              <w:noProof/>
            </w:rPr>
          </w:pPr>
          <w:r>
            <w:rPr>
              <w:noProof/>
            </w:rPr>
            <w:t>Ohala, John J. 2012. "The listener as a source of sound change." (John Benjamins) 21-36. doi:10.1075/cilt.323.05oha.</w:t>
          </w:r>
        </w:p>
        <w:p w14:paraId="152C87CA" w14:textId="77777777" w:rsidR="00E33F15" w:rsidRDefault="00E33F15" w:rsidP="00E33F15">
          <w:pPr>
            <w:pStyle w:val="Bibliography"/>
            <w:ind w:left="720" w:hanging="720"/>
            <w:rPr>
              <w:noProof/>
            </w:rPr>
          </w:pPr>
          <w:r>
            <w:rPr>
              <w:noProof/>
            </w:rPr>
            <w:t>Phillips, Betty S., Patrick Honeybone, and Joseph C. Salmons. 2015. "Lexical diffusion in historical phonology." (Oxford University Press) 359-373. doi:10.1093/oxfordhb/9780199232819.013.015.</w:t>
          </w:r>
        </w:p>
        <w:p w14:paraId="68620222" w14:textId="77777777" w:rsidR="00E33F15" w:rsidRDefault="00E33F15" w:rsidP="00E33F15">
          <w:pPr>
            <w:pStyle w:val="Bibliography"/>
            <w:ind w:left="720" w:hanging="720"/>
            <w:rPr>
              <w:noProof/>
            </w:rPr>
          </w:pPr>
          <w:r>
            <w:rPr>
              <w:noProof/>
            </w:rPr>
            <w:t xml:space="preserve">2019. </w:t>
          </w:r>
          <w:r>
            <w:rPr>
              <w:i/>
              <w:iCs/>
              <w:noProof/>
            </w:rPr>
            <w:t>PHOIBLE 2.0.</w:t>
          </w:r>
          <w:r>
            <w:rPr>
              <w:noProof/>
            </w:rPr>
            <w:t xml:space="preserve"> Max Planck Institute for the Science of Human History. Accessed 8 19, 2021. www.phoible.org.</w:t>
          </w:r>
        </w:p>
        <w:p w14:paraId="12F8C392" w14:textId="77777777" w:rsidR="00E33F15" w:rsidRDefault="00E33F15" w:rsidP="00E33F15">
          <w:pPr>
            <w:pStyle w:val="Bibliography"/>
            <w:ind w:left="720" w:hanging="720"/>
            <w:rPr>
              <w:noProof/>
            </w:rPr>
          </w:pPr>
          <w:r>
            <w:rPr>
              <w:noProof/>
            </w:rPr>
            <w:t>Ringe, Donald A., Tandy Warnow, and Ann Taylor. 2002. "Indo-European and computational cladistics." 3: 59-129. doi:10.1111/1467-968X.00091.</w:t>
          </w:r>
        </w:p>
        <w:p w14:paraId="6C737D1F" w14:textId="77777777" w:rsidR="00E33F15" w:rsidRDefault="00E33F15" w:rsidP="00E33F15">
          <w:pPr>
            <w:pStyle w:val="Bibliography"/>
            <w:ind w:left="720" w:hanging="720"/>
            <w:rPr>
              <w:noProof/>
            </w:rPr>
          </w:pPr>
          <w:r>
            <w:rPr>
              <w:noProof/>
            </w:rPr>
            <w:t>Straka, George. 1956. "La dislocation linguistique de la Romania et la formation des langues romanes à la lumiére de la chronologie relative des changements phonétiques." 249-267.</w:t>
          </w:r>
        </w:p>
        <w:p w14:paraId="2593FA3C" w14:textId="77777777" w:rsidR="00E33F15" w:rsidRDefault="00E33F15" w:rsidP="00E33F15">
          <w:pPr>
            <w:pStyle w:val="Bibliography"/>
            <w:ind w:left="720" w:hanging="720"/>
            <w:rPr>
              <w:noProof/>
            </w:rPr>
          </w:pPr>
          <w:r>
            <w:rPr>
              <w:noProof/>
            </w:rPr>
            <w:t>Tavaré, S. 1986. "Some probabilistic and statistical problems on the analysis of DNA sequences." 57-86.</w:t>
          </w:r>
        </w:p>
        <w:p w14:paraId="38F39FE5" w14:textId="77777777" w:rsidR="00E33F15" w:rsidRDefault="00E33F15" w:rsidP="00E33F15">
          <w:pPr>
            <w:pStyle w:val="Bibliography"/>
            <w:ind w:left="720" w:hanging="720"/>
            <w:rPr>
              <w:noProof/>
            </w:rPr>
          </w:pPr>
          <w:r>
            <w:rPr>
              <w:noProof/>
            </w:rPr>
            <w:t>Thorne, J. L., H. Kishino, and J. Felsenstein. 1991. "An evolutionary model for maximum likelihood alignment of DNA sequences." 114-124.</w:t>
          </w:r>
        </w:p>
        <w:p w14:paraId="7549F4B2" w14:textId="77777777" w:rsidR="00E33F15" w:rsidRDefault="00E33F15" w:rsidP="00E33F15">
          <w:pPr>
            <w:pStyle w:val="Bibliography"/>
            <w:ind w:left="720" w:hanging="720"/>
            <w:rPr>
              <w:noProof/>
            </w:rPr>
          </w:pPr>
          <w:r>
            <w:rPr>
              <w:noProof/>
            </w:rPr>
            <w:t>Weiss, Michael. 2015. "The comparative method." (Routledge) 127-145. doi:10.4324/9781315794013.ch4.</w:t>
          </w:r>
        </w:p>
        <w:p w14:paraId="313D4F12" w14:textId="77777777" w:rsidR="00E33F15" w:rsidRDefault="00E33F15" w:rsidP="00E33F15">
          <w:pPr>
            <w:pStyle w:val="Bibliography"/>
            <w:ind w:left="720" w:hanging="720"/>
            <w:rPr>
              <w:noProof/>
            </w:rPr>
          </w:pPr>
          <w:r>
            <w:rPr>
              <w:noProof/>
            </w:rPr>
            <w:t>Wichmann, Søren, Eric W Holman, and Cecil H Brown. 2018. "The ASJP Database (version 18)." ASJP. Accessed 2020. asjp.clld.org.</w:t>
          </w:r>
        </w:p>
        <w:p w14:paraId="180F2980" w14:textId="77777777" w:rsidR="00E33F15" w:rsidRDefault="00E33F15" w:rsidP="00E33F15">
          <w:pPr>
            <w:pStyle w:val="Bibliography"/>
            <w:ind w:left="720" w:hanging="720"/>
            <w:rPr>
              <w:noProof/>
            </w:rPr>
          </w:pPr>
          <w:r>
            <w:rPr>
              <w:noProof/>
            </w:rPr>
            <w:t>2021. "Wiktionary." en.wiktionary.org/wiki/Wiktionary.</w:t>
          </w:r>
        </w:p>
        <w:p w14:paraId="18B7E3AD" w14:textId="77777777" w:rsidR="00E33F15" w:rsidRDefault="00E33F15" w:rsidP="00E33F15">
          <w:pPr>
            <w:pStyle w:val="Bibliography"/>
            <w:ind w:left="720" w:hanging="720"/>
            <w:rPr>
              <w:noProof/>
            </w:rPr>
          </w:pPr>
          <w:r>
            <w:rPr>
              <w:noProof/>
            </w:rPr>
            <w:t>Wong, K. M., Marc A. Suchard, and John P. Huelsenbeck. 2008. "Alignment uncertainty and genomic analysis." 473-476.</w:t>
          </w:r>
        </w:p>
        <w:p w14:paraId="61A624F5" w14:textId="77777777" w:rsidR="00E33F15" w:rsidRDefault="00E33F15" w:rsidP="00E33F15">
          <w:pPr>
            <w:pStyle w:val="Bibliography"/>
            <w:ind w:left="720" w:hanging="720"/>
            <w:rPr>
              <w:noProof/>
            </w:rPr>
          </w:pPr>
          <w:r>
            <w:rPr>
              <w:noProof/>
            </w:rPr>
            <w:lastRenderedPageBreak/>
            <w:t>Xie, Wangang, Paul O. Lewis, Yu Fan, Lynn Kuo, and Ming-Hui Chen. 2010. "Improving marginal likelihood estimation for Bayesian phylogenetic model selection." 12: 150-160.</w:t>
          </w:r>
        </w:p>
        <w:p w14:paraId="3DE4C54A" w14:textId="77777777" w:rsidR="007072D9" w:rsidRDefault="005863DE" w:rsidP="00E33F15">
          <w:r>
            <w:fldChar w:fldCharType="end"/>
          </w:r>
        </w:p>
      </w:sdtContent>
    </w:sdt>
    <w:p w14:paraId="0C716C25" w14:textId="77777777" w:rsidR="007072D9" w:rsidRDefault="007072D9">
      <w:pPr>
        <w:sectPr w:rsidR="007072D9">
          <w:pgSz w:w="12240" w:h="15840"/>
          <w:pgMar w:top="1296" w:right="1080" w:bottom="1440" w:left="1080" w:header="720" w:footer="720" w:gutter="0"/>
          <w:cols w:space="0"/>
          <w:docGrid w:linePitch="360"/>
        </w:sectPr>
      </w:pPr>
    </w:p>
    <w:p w14:paraId="764E8D1F" w14:textId="77777777" w:rsidR="007072D9" w:rsidRDefault="005863DE">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3E88DB9E" w14:textId="77777777" w:rsidR="007072D9" w:rsidRDefault="005863DE">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78C915F7" wp14:editId="555C98F1">
            <wp:extent cx="3982896" cy="3860035"/>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3982896" cy="3860035"/>
                    </a:xfrm>
                    <a:prstGeom prst="rect">
                      <a:avLst/>
                    </a:prstGeom>
                    <a:noFill/>
                    <a:ln>
                      <a:noFill/>
                    </a:ln>
                  </pic:spPr>
                </pic:pic>
              </a:graphicData>
            </a:graphic>
          </wp:inline>
        </w:drawing>
      </w:r>
    </w:p>
    <w:sectPr w:rsidR="007072D9">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7599" w14:textId="77777777" w:rsidR="005863DE" w:rsidRDefault="005863DE">
      <w:r>
        <w:separator/>
      </w:r>
    </w:p>
  </w:endnote>
  <w:endnote w:type="continuationSeparator" w:id="0">
    <w:p w14:paraId="76E7F225" w14:textId="77777777" w:rsidR="005863DE" w:rsidRDefault="0058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9932" w14:textId="77777777" w:rsidR="007072D9" w:rsidRDefault="005863DE">
    <w:pPr>
      <w:jc w:val="right"/>
      <w:rPr>
        <w:rFonts w:ascii="Times New Roman" w:eastAsia="Times New Roman" w:hAnsi="Times New Roman"/>
      </w:rPr>
    </w:pPr>
    <w:r>
      <w:fldChar w:fldCharType="begin"/>
    </w:r>
    <w:r>
      <w:instrText>PAGE  \* MERGEFORMAT</w:instrText>
    </w:r>
    <w:r>
      <w:fldChar w:fldCharType="separate"/>
    </w:r>
    <w:r w:rsidR="00E33F15">
      <w:rPr>
        <w:noProof/>
      </w:rPr>
      <w:t>0</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E33F1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176A" w14:textId="77777777" w:rsidR="007072D9" w:rsidRDefault="005863DE">
    <w:pPr>
      <w:jc w:val="right"/>
      <w:rPr>
        <w:rFonts w:ascii="Times New Roman" w:eastAsia="Times New Roman" w:hAnsi="Times New Roman"/>
      </w:rPr>
    </w:pPr>
    <w:r>
      <w:fldChar w:fldCharType="begin"/>
    </w:r>
    <w:r>
      <w:instrText>PAGE  \* MERGEFORMAT</w:instrText>
    </w:r>
    <w:r>
      <w:fldChar w:fldCharType="separate"/>
    </w:r>
    <w:r w:rsidR="00E33F15">
      <w:rPr>
        <w:noProof/>
      </w:rPr>
      <w:t>0</w:t>
    </w:r>
    <w:r>
      <w:fldChar w:fldCharType="end"/>
    </w:r>
    <w:r>
      <w:rPr>
        <w:rFonts w:ascii="Times New Roman" w:eastAsia="Times New Roman" w:hAnsi="Times New Roman"/>
      </w:rPr>
      <w:t>/</w:t>
    </w:r>
    <w:r>
      <w:fldChar w:fldCharType="begin"/>
    </w:r>
    <w:r>
      <w:instrText>NUMPAGES  \* MERGEFORMAT</w:instrText>
    </w:r>
    <w:r>
      <w:fldChar w:fldCharType="separate"/>
    </w:r>
    <w:r w:rsidR="00E33F1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C124" w14:textId="77777777" w:rsidR="007072D9" w:rsidRDefault="005863DE">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3917" w14:textId="77777777" w:rsidR="007072D9" w:rsidRDefault="005863DE">
    <w:pPr>
      <w:jc w:val="center"/>
      <w:rPr>
        <w:rFonts w:ascii="Times New Roman" w:eastAsia="Times New Roman" w:hAnsi="Times New Roman"/>
      </w:rPr>
    </w:pPr>
    <w:r>
      <w:fldChar w:fldCharType="begin"/>
    </w:r>
    <w:r>
      <w:instrText>PAGE  \* MERGEFORMAT</w:instrText>
    </w:r>
    <w:r>
      <w:fldChar w:fldCharType="separate"/>
    </w:r>
    <w:r w:rsidR="00E33F15">
      <w:rPr>
        <w:noProof/>
      </w:rP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0932" w14:textId="77777777" w:rsidR="007072D9" w:rsidRDefault="005863DE">
    <w:pPr>
      <w:jc w:val="center"/>
      <w:rPr>
        <w:rFonts w:ascii="Times New Roman" w:eastAsia="Times New Roman" w:hAnsi="Times New Roman"/>
      </w:rPr>
    </w:pPr>
    <w:r>
      <w:fldChar w:fldCharType="begin"/>
    </w:r>
    <w:r>
      <w:instrText>PAGE  \* MERGEFORMAT</w:instrText>
    </w:r>
    <w:r>
      <w:fldChar w:fldCharType="separate"/>
    </w:r>
    <w:r w:rsidR="00E33F15">
      <w:rPr>
        <w:noProof/>
      </w:rP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2B9F" w14:textId="77777777" w:rsidR="007072D9" w:rsidRDefault="005863DE">
    <w:pPr>
      <w:jc w:val="center"/>
      <w:rPr>
        <w:rFonts w:ascii="Times New Roman" w:eastAsia="Times New Roman" w:hAnsi="Times New Roman"/>
      </w:rPr>
    </w:pPr>
    <w:r>
      <w:fldChar w:fldCharType="begin"/>
    </w:r>
    <w:r>
      <w:instrText>PAGE  \* MERGEFORMAT</w:instrText>
    </w:r>
    <w:r>
      <w:fldChar w:fldCharType="separate"/>
    </w:r>
    <w:r w:rsidR="00E33F15">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A6C8" w14:textId="77777777" w:rsidR="005863DE" w:rsidRDefault="005863DE">
      <w:r>
        <w:separator/>
      </w:r>
    </w:p>
  </w:footnote>
  <w:footnote w:type="continuationSeparator" w:id="0">
    <w:p w14:paraId="139962F0" w14:textId="77777777" w:rsidR="005863DE" w:rsidRDefault="00586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D9"/>
    <w:rsid w:val="005863DE"/>
    <w:rsid w:val="007072D9"/>
    <w:rsid w:val="00E3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4BF2"/>
  <w15:chartTrackingRefBased/>
  <w15:docId w15:val="{86CC2E9D-AE59-40CF-99F9-E8F4533B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E3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737">
      <w:bodyDiv w:val="1"/>
      <w:marLeft w:val="0"/>
      <w:marRight w:val="0"/>
      <w:marTop w:val="0"/>
      <w:marBottom w:val="0"/>
      <w:divBdr>
        <w:top w:val="none" w:sz="0" w:space="0" w:color="auto"/>
        <w:left w:val="none" w:sz="0" w:space="0" w:color="auto"/>
        <w:bottom w:val="none" w:sz="0" w:space="0" w:color="auto"/>
        <w:right w:val="none" w:sz="0" w:space="0" w:color="auto"/>
      </w:divBdr>
    </w:div>
    <w:div w:id="189071381">
      <w:bodyDiv w:val="1"/>
      <w:marLeft w:val="0"/>
      <w:marRight w:val="0"/>
      <w:marTop w:val="0"/>
      <w:marBottom w:val="0"/>
      <w:divBdr>
        <w:top w:val="none" w:sz="0" w:space="0" w:color="auto"/>
        <w:left w:val="none" w:sz="0" w:space="0" w:color="auto"/>
        <w:bottom w:val="none" w:sz="0" w:space="0" w:color="auto"/>
        <w:right w:val="none" w:sz="0" w:space="0" w:color="auto"/>
      </w:divBdr>
    </w:div>
    <w:div w:id="255286510">
      <w:bodyDiv w:val="1"/>
      <w:marLeft w:val="0"/>
      <w:marRight w:val="0"/>
      <w:marTop w:val="0"/>
      <w:marBottom w:val="0"/>
      <w:divBdr>
        <w:top w:val="none" w:sz="0" w:space="0" w:color="auto"/>
        <w:left w:val="none" w:sz="0" w:space="0" w:color="auto"/>
        <w:bottom w:val="none" w:sz="0" w:space="0" w:color="auto"/>
        <w:right w:val="none" w:sz="0" w:space="0" w:color="auto"/>
      </w:divBdr>
    </w:div>
    <w:div w:id="329064259">
      <w:bodyDiv w:val="1"/>
      <w:marLeft w:val="0"/>
      <w:marRight w:val="0"/>
      <w:marTop w:val="0"/>
      <w:marBottom w:val="0"/>
      <w:divBdr>
        <w:top w:val="none" w:sz="0" w:space="0" w:color="auto"/>
        <w:left w:val="none" w:sz="0" w:space="0" w:color="auto"/>
        <w:bottom w:val="none" w:sz="0" w:space="0" w:color="auto"/>
        <w:right w:val="none" w:sz="0" w:space="0" w:color="auto"/>
      </w:divBdr>
    </w:div>
    <w:div w:id="498275979">
      <w:bodyDiv w:val="1"/>
      <w:marLeft w:val="0"/>
      <w:marRight w:val="0"/>
      <w:marTop w:val="0"/>
      <w:marBottom w:val="0"/>
      <w:divBdr>
        <w:top w:val="none" w:sz="0" w:space="0" w:color="auto"/>
        <w:left w:val="none" w:sz="0" w:space="0" w:color="auto"/>
        <w:bottom w:val="none" w:sz="0" w:space="0" w:color="auto"/>
        <w:right w:val="none" w:sz="0" w:space="0" w:color="auto"/>
      </w:divBdr>
    </w:div>
    <w:div w:id="505290129">
      <w:bodyDiv w:val="1"/>
      <w:marLeft w:val="0"/>
      <w:marRight w:val="0"/>
      <w:marTop w:val="0"/>
      <w:marBottom w:val="0"/>
      <w:divBdr>
        <w:top w:val="none" w:sz="0" w:space="0" w:color="auto"/>
        <w:left w:val="none" w:sz="0" w:space="0" w:color="auto"/>
        <w:bottom w:val="none" w:sz="0" w:space="0" w:color="auto"/>
        <w:right w:val="none" w:sz="0" w:space="0" w:color="auto"/>
      </w:divBdr>
    </w:div>
    <w:div w:id="806358517">
      <w:bodyDiv w:val="1"/>
      <w:marLeft w:val="0"/>
      <w:marRight w:val="0"/>
      <w:marTop w:val="0"/>
      <w:marBottom w:val="0"/>
      <w:divBdr>
        <w:top w:val="none" w:sz="0" w:space="0" w:color="auto"/>
        <w:left w:val="none" w:sz="0" w:space="0" w:color="auto"/>
        <w:bottom w:val="none" w:sz="0" w:space="0" w:color="auto"/>
        <w:right w:val="none" w:sz="0" w:space="0" w:color="auto"/>
      </w:divBdr>
    </w:div>
    <w:div w:id="850142868">
      <w:bodyDiv w:val="1"/>
      <w:marLeft w:val="0"/>
      <w:marRight w:val="0"/>
      <w:marTop w:val="0"/>
      <w:marBottom w:val="0"/>
      <w:divBdr>
        <w:top w:val="none" w:sz="0" w:space="0" w:color="auto"/>
        <w:left w:val="none" w:sz="0" w:space="0" w:color="auto"/>
        <w:bottom w:val="none" w:sz="0" w:space="0" w:color="auto"/>
        <w:right w:val="none" w:sz="0" w:space="0" w:color="auto"/>
      </w:divBdr>
    </w:div>
    <w:div w:id="929922362">
      <w:bodyDiv w:val="1"/>
      <w:marLeft w:val="0"/>
      <w:marRight w:val="0"/>
      <w:marTop w:val="0"/>
      <w:marBottom w:val="0"/>
      <w:divBdr>
        <w:top w:val="none" w:sz="0" w:space="0" w:color="auto"/>
        <w:left w:val="none" w:sz="0" w:space="0" w:color="auto"/>
        <w:bottom w:val="none" w:sz="0" w:space="0" w:color="auto"/>
        <w:right w:val="none" w:sz="0" w:space="0" w:color="auto"/>
      </w:divBdr>
    </w:div>
    <w:div w:id="1039629660">
      <w:bodyDiv w:val="1"/>
      <w:marLeft w:val="0"/>
      <w:marRight w:val="0"/>
      <w:marTop w:val="0"/>
      <w:marBottom w:val="0"/>
      <w:divBdr>
        <w:top w:val="none" w:sz="0" w:space="0" w:color="auto"/>
        <w:left w:val="none" w:sz="0" w:space="0" w:color="auto"/>
        <w:bottom w:val="none" w:sz="0" w:space="0" w:color="auto"/>
        <w:right w:val="none" w:sz="0" w:space="0" w:color="auto"/>
      </w:divBdr>
    </w:div>
    <w:div w:id="1121725926">
      <w:bodyDiv w:val="1"/>
      <w:marLeft w:val="0"/>
      <w:marRight w:val="0"/>
      <w:marTop w:val="0"/>
      <w:marBottom w:val="0"/>
      <w:divBdr>
        <w:top w:val="none" w:sz="0" w:space="0" w:color="auto"/>
        <w:left w:val="none" w:sz="0" w:space="0" w:color="auto"/>
        <w:bottom w:val="none" w:sz="0" w:space="0" w:color="auto"/>
        <w:right w:val="none" w:sz="0" w:space="0" w:color="auto"/>
      </w:divBdr>
    </w:div>
    <w:div w:id="1125394363">
      <w:bodyDiv w:val="1"/>
      <w:marLeft w:val="0"/>
      <w:marRight w:val="0"/>
      <w:marTop w:val="0"/>
      <w:marBottom w:val="0"/>
      <w:divBdr>
        <w:top w:val="none" w:sz="0" w:space="0" w:color="auto"/>
        <w:left w:val="none" w:sz="0" w:space="0" w:color="auto"/>
        <w:bottom w:val="none" w:sz="0" w:space="0" w:color="auto"/>
        <w:right w:val="none" w:sz="0" w:space="0" w:color="auto"/>
      </w:divBdr>
    </w:div>
    <w:div w:id="1219435156">
      <w:bodyDiv w:val="1"/>
      <w:marLeft w:val="0"/>
      <w:marRight w:val="0"/>
      <w:marTop w:val="0"/>
      <w:marBottom w:val="0"/>
      <w:divBdr>
        <w:top w:val="none" w:sz="0" w:space="0" w:color="auto"/>
        <w:left w:val="none" w:sz="0" w:space="0" w:color="auto"/>
        <w:bottom w:val="none" w:sz="0" w:space="0" w:color="auto"/>
        <w:right w:val="none" w:sz="0" w:space="0" w:color="auto"/>
      </w:divBdr>
    </w:div>
    <w:div w:id="1230650876">
      <w:bodyDiv w:val="1"/>
      <w:marLeft w:val="0"/>
      <w:marRight w:val="0"/>
      <w:marTop w:val="0"/>
      <w:marBottom w:val="0"/>
      <w:divBdr>
        <w:top w:val="none" w:sz="0" w:space="0" w:color="auto"/>
        <w:left w:val="none" w:sz="0" w:space="0" w:color="auto"/>
        <w:bottom w:val="none" w:sz="0" w:space="0" w:color="auto"/>
        <w:right w:val="none" w:sz="0" w:space="0" w:color="auto"/>
      </w:divBdr>
    </w:div>
    <w:div w:id="1288244390">
      <w:bodyDiv w:val="1"/>
      <w:marLeft w:val="0"/>
      <w:marRight w:val="0"/>
      <w:marTop w:val="0"/>
      <w:marBottom w:val="0"/>
      <w:divBdr>
        <w:top w:val="none" w:sz="0" w:space="0" w:color="auto"/>
        <w:left w:val="none" w:sz="0" w:space="0" w:color="auto"/>
        <w:bottom w:val="none" w:sz="0" w:space="0" w:color="auto"/>
        <w:right w:val="none" w:sz="0" w:space="0" w:color="auto"/>
      </w:divBdr>
    </w:div>
    <w:div w:id="1307323352">
      <w:bodyDiv w:val="1"/>
      <w:marLeft w:val="0"/>
      <w:marRight w:val="0"/>
      <w:marTop w:val="0"/>
      <w:marBottom w:val="0"/>
      <w:divBdr>
        <w:top w:val="none" w:sz="0" w:space="0" w:color="auto"/>
        <w:left w:val="none" w:sz="0" w:space="0" w:color="auto"/>
        <w:bottom w:val="none" w:sz="0" w:space="0" w:color="auto"/>
        <w:right w:val="none" w:sz="0" w:space="0" w:color="auto"/>
      </w:divBdr>
    </w:div>
    <w:div w:id="1364818618">
      <w:bodyDiv w:val="1"/>
      <w:marLeft w:val="0"/>
      <w:marRight w:val="0"/>
      <w:marTop w:val="0"/>
      <w:marBottom w:val="0"/>
      <w:divBdr>
        <w:top w:val="none" w:sz="0" w:space="0" w:color="auto"/>
        <w:left w:val="none" w:sz="0" w:space="0" w:color="auto"/>
        <w:bottom w:val="none" w:sz="0" w:space="0" w:color="auto"/>
        <w:right w:val="none" w:sz="0" w:space="0" w:color="auto"/>
      </w:divBdr>
    </w:div>
    <w:div w:id="1406344208">
      <w:bodyDiv w:val="1"/>
      <w:marLeft w:val="0"/>
      <w:marRight w:val="0"/>
      <w:marTop w:val="0"/>
      <w:marBottom w:val="0"/>
      <w:divBdr>
        <w:top w:val="none" w:sz="0" w:space="0" w:color="auto"/>
        <w:left w:val="none" w:sz="0" w:space="0" w:color="auto"/>
        <w:bottom w:val="none" w:sz="0" w:space="0" w:color="auto"/>
        <w:right w:val="none" w:sz="0" w:space="0" w:color="auto"/>
      </w:divBdr>
    </w:div>
    <w:div w:id="1441294130">
      <w:bodyDiv w:val="1"/>
      <w:marLeft w:val="0"/>
      <w:marRight w:val="0"/>
      <w:marTop w:val="0"/>
      <w:marBottom w:val="0"/>
      <w:divBdr>
        <w:top w:val="none" w:sz="0" w:space="0" w:color="auto"/>
        <w:left w:val="none" w:sz="0" w:space="0" w:color="auto"/>
        <w:bottom w:val="none" w:sz="0" w:space="0" w:color="auto"/>
        <w:right w:val="none" w:sz="0" w:space="0" w:color="auto"/>
      </w:divBdr>
    </w:div>
    <w:div w:id="1527713755">
      <w:bodyDiv w:val="1"/>
      <w:marLeft w:val="0"/>
      <w:marRight w:val="0"/>
      <w:marTop w:val="0"/>
      <w:marBottom w:val="0"/>
      <w:divBdr>
        <w:top w:val="none" w:sz="0" w:space="0" w:color="auto"/>
        <w:left w:val="none" w:sz="0" w:space="0" w:color="auto"/>
        <w:bottom w:val="none" w:sz="0" w:space="0" w:color="auto"/>
        <w:right w:val="none" w:sz="0" w:space="0" w:color="auto"/>
      </w:divBdr>
    </w:div>
    <w:div w:id="1536309238">
      <w:bodyDiv w:val="1"/>
      <w:marLeft w:val="0"/>
      <w:marRight w:val="0"/>
      <w:marTop w:val="0"/>
      <w:marBottom w:val="0"/>
      <w:divBdr>
        <w:top w:val="none" w:sz="0" w:space="0" w:color="auto"/>
        <w:left w:val="none" w:sz="0" w:space="0" w:color="auto"/>
        <w:bottom w:val="none" w:sz="0" w:space="0" w:color="auto"/>
        <w:right w:val="none" w:sz="0" w:space="0" w:color="auto"/>
      </w:divBdr>
    </w:div>
    <w:div w:id="1730305529">
      <w:bodyDiv w:val="1"/>
      <w:marLeft w:val="0"/>
      <w:marRight w:val="0"/>
      <w:marTop w:val="0"/>
      <w:marBottom w:val="0"/>
      <w:divBdr>
        <w:top w:val="none" w:sz="0" w:space="0" w:color="auto"/>
        <w:left w:val="none" w:sz="0" w:space="0" w:color="auto"/>
        <w:bottom w:val="none" w:sz="0" w:space="0" w:color="auto"/>
        <w:right w:val="none" w:sz="0" w:space="0" w:color="auto"/>
      </w:divBdr>
    </w:div>
    <w:div w:id="1764494952">
      <w:bodyDiv w:val="1"/>
      <w:marLeft w:val="0"/>
      <w:marRight w:val="0"/>
      <w:marTop w:val="0"/>
      <w:marBottom w:val="0"/>
      <w:divBdr>
        <w:top w:val="none" w:sz="0" w:space="0" w:color="auto"/>
        <w:left w:val="none" w:sz="0" w:space="0" w:color="auto"/>
        <w:bottom w:val="none" w:sz="0" w:space="0" w:color="auto"/>
        <w:right w:val="none" w:sz="0" w:space="0" w:color="auto"/>
      </w:divBdr>
    </w:div>
    <w:div w:id="17975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Address/>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Address/>
    <b:Year>2019</b:Year>
    <b:RefOrder>37</b:RefOrder>
  </b:Source>
  <b:Source>
    <b:Tag>References.XSAMPA</b:Tag>
    <b:SourceType>Book</b:SourceType>
    <b:Guid>1d927dc5-2e9e-cfa6-4e46-4da30445b571</b:Guid>
    <b:Title>Extended Speech Assessment Methods Phonetic Alphabet</b:Title>
    <b:URL>en.wikipedia.org/wiki/X-SAMPA</b:URL>
    <b:Publisher>Wikipedia</b:Publisher>
    <b:Address/>
    <b:Year>2019</b:Year>
    <b:RefOrder>38</b:RefOrder>
  </b:Source>
  <b:Source>
    <b:Tag>References.DistinctiveFeature</b:Tag>
    <b:SourceType>Misc</b:SourceType>
    <b:Guid>b35c6ee9-9980-bdbe-8967-c418b3dacfd2</b:Guid>
    <b:Title>Distinctive Feature</b:Title>
    <b:URL>en.wikipedia.org/wiki/Distinctive_feature</b:URL>
    <b:Publisher>Wikipedia</b:Publisher>
    <b:Address/>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RefOrder>22</b:RefOrder>
  </b:Source>
</b:Sources>
</file>

<file path=customXml/itemProps1.xml><?xml version="1.0" encoding="utf-8"?>
<ds:datastoreItem xmlns:ds="http://schemas.openxmlformats.org/officeDocument/2006/customXml" ds:itemID="{AF8DBE84-4BD8-4555-B1E1-6D948B50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3</cp:revision>
  <dcterms:created xsi:type="dcterms:W3CDTF">2021-09-14T16:21:00Z</dcterms:created>
  <dcterms:modified xsi:type="dcterms:W3CDTF">2021-09-14T16:21:00Z</dcterms:modified>
</cp:coreProperties>
</file>