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UCLA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UC 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372</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2628</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198</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372</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2628</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Linux Libertine O" w:eastAsia="Linux Libertine O" w:hAnsi="Linux Libertine O"/>
                  <w:lang w:val="en-US" w:eastAsia="en-US" w:bidi="ar-SA"/>
                  <w:sz w:val="18.375"/>
                  <w:szCs w:val="18.375"/>
                </w:rPr>
                <m:t>Ψ</m:t>
              </m:r>
            </m:e>
            <m:e>
              <m:r>
                <w:rPr>
                  <w:rFonts w:ascii="Linux Libertine O" w:eastAsia="Linux Libertine O" w:hAnsi="Linux Libertine O"/>
                  <w:lang w:val="en-US" w:eastAsia="en-US" w:bidi="ar-SA"/>
                  <w:sz w:val="18.375"/>
                  <w:szCs w:val="18.375"/>
                </w:rPr>
                <m:t xml:space="preserve"> = </m:t>
              </m:r>
            </m:e>
            <m:e>
              <m:d>
                <m:dPr>
                  <m:begChr m:val="("/>
                  <m:endChr m:val=")"/>
                  <m:sepChr m:val=""/>
                </m:dPr>
                <m:e>
                  <m:r>
                    <w:rPr>
                      <w:rFonts w:ascii="Linux Libertine O" w:eastAsia="Linux Libertine O" w:hAnsi="Linux Libertine O"/>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Linux Libertine O" w:eastAsia="Linux Libertine O" w:hAnsi="Linux Libertine O"/>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Linux Libertine O" w:eastAsia="Linux Libertine O" w:hAnsi="Linux Libertine O"/>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Linux Libertine O" w:eastAsia="Linux Libertine O" w:hAnsi="Linux Libertine O"/>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i/>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i/>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Linux Libertine O" w:eastAsia="Linux Libertine O" w:hAnsi="Linux Libertine O"/>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Linux Libertine O" w:eastAsia="Linux Libertine O" w:hAnsi="Linux Libertine O"/>
                              <w:lang w:val="en-US" w:eastAsia="en-US" w:bidi="ar-SA"/>
                              <w:b/>
                              <w:sz w:val="24"/>
                              <w:szCs w:val="24"/>
                            </w:rPr>
                            <m:t>S</m:t>
                          </m:r>
                          <m:r>
                            <w:rPr>
                              <w:rFonts w:ascii="Linux Libertine O" w:eastAsia="Linux Libertine O" w:hAnsi="Linux Libertine O"/>
                              <w:lang w:val="en-US" w:eastAsia="en-US" w:bidi="ar-SA"/>
                              <w:sz w:val="24"/>
                              <w:szCs w:val="24"/>
                            </w:rPr>
                            <m:t>|</m:t>
                          </m:r>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sz w:val="24"/>
                          <w:szCs w:val="24"/>
                        </w:rPr>
                        <m:t>Ψ</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λ</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sz w:val="24"/>
                          <w:szCs w:val="24"/>
                        </w:rPr>
                        <m:t>μ</m:t>
                      </m:r>
                    </m:e>
                    <m:e>
                      <m:r>
                        <w:rPr>
                          <w:rFonts w:ascii="Linux Libertine O" w:eastAsia="Linux Libertine O" w:hAnsi="Linux Libertine O"/>
                          <w:lang w:val="en-US" w:eastAsia="en-US" w:bidi="ar-SA"/>
                          <w:sz w:val="24"/>
                          <w:szCs w:val="24"/>
                        </w:rPr>
                        <m:t xml:space="preserve">, </m:t>
                      </m:r>
                    </m:e>
                    <m:e>
                      <m:r>
                        <w:rPr>
                          <w:rFonts w:ascii="Linux Libertine O" w:eastAsia="Linux Libertine O" w:hAnsi="Linux Libertine O"/>
                          <w:lang w:val="en-US" w:eastAsia="en-US" w:bidi="ar-SA"/>
                          <w:i/>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Linux Libertine O" w:eastAsia="Linux Libertine O" w:hAnsi="Linux Libertine O"/>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Linux Libertine O" w:eastAsia="Linux Libertine O" w:hAnsi="Linux Libertine O"/>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i/>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Linux Libertine O" w:eastAsia="Linux Libertine O" w:hAnsi="Linux Libertine O"/>
          <w:lang w:val="en-US" w:eastAsia="en-US" w:bidi="ar-SA"/>
          <w:sz w:val="18.375"/>
          <w:szCs w:val="18.375"/>
        </w:rPr>
        <w:t>λ</w:t>
      </w:r>
      <w:r>
        <w:rPr>
          <w:rFonts w:ascii="Linux Libertine O" w:eastAsia="Linux Libertine O" w:hAnsi="Linux Libertine O"/>
          <w:lang w:val="en-US" w:eastAsia="en-US" w:bidi="ar-SA"/>
          <w:sz w:val="18.375"/>
          <w:szCs w:val="18.375"/>
        </w:rPr>
        <w:t xml:space="preserve"> &lt; </w:t>
      </w:r>
      <w:r>
        <w:rPr>
          <w:rFonts w:ascii="Linux Libertine O" w:eastAsia="Linux Libertine O" w:hAnsi="Linux Libertine O"/>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i</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o</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ɔ</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ɛ</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ø</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143</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91</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Confidence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10</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"ʧ-ɛ̃---"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tchin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Furthermore, 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Open</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Central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w:t>
      </w:r>
      <w:r>
        <w:rPr>
          <w:rFonts w:ascii="Times New Roman" w:eastAsia="Times New Roman" w:hAnsi="Times New Roman"/>
          <w:lang w:val="en-US" w:eastAsia="en-US" w:bidi="ar-SA"/>
          <w:sz w:val="18.375"/>
          <w:szCs w:val="18.375"/>
        </w:rPr>
        <w:t>one million</w:t>
      </w:r>
      <w:r>
        <w:rPr>
          <w:rFonts w:ascii="Times New Roman" w:eastAsia="Times New Roman" w:hAnsi="Times New Roman"/>
          <w:lang w:val="en-US" w:eastAsia="en-US" w:bidi="ar-SA"/>
          <w:sz w:val="18.375"/>
          <w:szCs w:val="18.375"/>
        </w:rPr>
        <w:t xml:space="preserve">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5840" w:h="12240"/>
          <w:pgMar w:top="2160" w:right="720" w:bottom="1080" w:left="720" w:header="720" w:gutter="0"/>
          <w:cols w:space="0"/>
          <w:docGrid w:linePitch="360"/>
        </w:sectPr>
      </w:pPr>
    </w:p>
    <w:sdt>
      <w:sdtPr>
        <w:docPartObj>
          <w:docPartGallery w:val="Bibliographies"/>
          <w:docPartUnique/>
        </w:docPartObj>
      </w:sdtPr>
      <w:sdtEndPr>
        <w:rPr/>
      </w:sdtEndPr>
      <w:sdtContent>
        <w:p>
          <w:pPr>
            <w:pStyle w:val="Heading1"/>
          </w:pPr>
          <w:r>
            <w:t xml:space="preserve">References</w:t>
          </w:r>
        </w:p>
        <w:std>
          <w:sdtPr>
            <w:bibliography/>
          </w:sdtPr>
          <w:sdtContent>
            <w:p>
              <w:pPr>
                <w:rPr>
                  <w:noProof/>
                </w:rPr>
              </w:pPr>
              <w:r>
                <w:fldChar w:fldCharType="begin"/>
              </w:r>
              <w:r>
                <w:instrText xml:space="preserve"> BIBLIOGRAPHY </w:instrText>
              </w:r>
              <w:r>
                <w:fldChar w:fldCharType="separate"/>
              </w:r>
            </w:p>
            <w:p>
              <w:r>
                <w:t xml:space="preserve">Ref</w:t>
              </w:r>
            </w:p>
            <w:p/>
            <w:p>
              <w:r>
                <w:r>
                  <w:fldChar w:fldCharType="end"/>
                </w:r>
              </w:r>
            </w:p>
          </w:sdtContent>
        </w:std>
      </w:sdtContent>
    </w:sdt>
    <w:p>
      <w:pPr>
        <w:sectPr>
          <w:type w:val="nextPage"/>
          <w:pgSz w:w="15840" w:h="12240"/>
          <w:pgMar w:top="2160" w:right="720" w:bottom="1080" w:left="72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w:t>
      </w:r>
      <w:r>
        <w:rPr>
          <w:rFonts w:ascii="Times New Roman" w:eastAsia="Times New Roman" w:hAnsi="Times New Roman"/>
          <w:lang w:val="en-US" w:eastAsia="en-US" w:bidi="ar-SA"/>
          <w:sz w:val="18.375"/>
          <w:szCs w:val="18.375"/>
        </w:rPr>
        <w:t>13</w:t>
      </w:r>
      <w:r>
        <w:rPr>
          <w:rFonts w:ascii="Times New Roman" w:eastAsia="Times New Roman" w:hAnsi="Times New Roman"/>
          <w:lang w:val="en-US" w:eastAsia="en-US" w:bidi="ar-SA"/>
          <w:sz w:val="18.375"/>
          <w:szCs w:val="18.375"/>
        </w:rPr>
        <w:t xml:space="preserve"> sets.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lines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6036469" cy="4572000"/>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6036469" cy="4572000"/>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5840" w:h="12240"/>
      <w:pgMar w:top="2160" w:right="720" w:bottom="1080" w:left="72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FamilyClass"/>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48a16be0-ccbb-4701-8e0b-417198c1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