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7CF" w:rsidRPr="00D927CF" w:rsidRDefault="00D927CF" w:rsidP="00D927CF">
      <w:pPr>
        <w:pStyle w:val="H1"/>
        <w:rPr>
          <w:color w:val="auto"/>
        </w:rPr>
      </w:pPr>
      <w:r w:rsidRPr="00D927CF">
        <w:rPr>
          <w:color w:val="auto"/>
        </w:rPr>
        <w:t>FAQ</w:t>
      </w:r>
    </w:p>
    <w:p w:rsidR="00913469" w:rsidRPr="00913469" w:rsidRDefault="00913469">
      <w:pPr>
        <w:rPr>
          <w:b/>
        </w:rPr>
      </w:pPr>
      <w:r w:rsidRPr="00913469">
        <w:rPr>
          <w:b/>
        </w:rPr>
        <w:t>Why are the polygons shown</w:t>
      </w:r>
      <w:r>
        <w:rPr>
          <w:b/>
        </w:rPr>
        <w:t xml:space="preserve"> </w:t>
      </w:r>
      <w:r w:rsidRPr="00913469">
        <w:rPr>
          <w:b/>
        </w:rPr>
        <w:t>within the Montana corridor small on the west and large on the east?</w:t>
      </w:r>
    </w:p>
    <w:p w:rsidR="00F02159" w:rsidRDefault="00913469">
      <w:r>
        <w:t xml:space="preserve">Polygons within the Montana corridor are based on the size of census blocks delineated by the U.S. Census Bureau every 10 years. In general, census blocks are small within a city and large in suburban and urban areas. These statistical areas are bounded by </w:t>
      </w:r>
      <w:r w:rsidRPr="00913469">
        <w:t xml:space="preserve">visible features </w:t>
      </w:r>
      <w:r>
        <w:t>(</w:t>
      </w:r>
      <w:r w:rsidRPr="00913469">
        <w:t>such as roads</w:t>
      </w:r>
      <w:r>
        <w:t>)</w:t>
      </w:r>
      <w:r w:rsidRPr="00913469">
        <w:t>,</w:t>
      </w:r>
      <w:r>
        <w:t xml:space="preserve"> </w:t>
      </w:r>
      <w:r w:rsidRPr="00913469">
        <w:t xml:space="preserve">by nonvisible boundaries </w:t>
      </w:r>
      <w:r>
        <w:t>(</w:t>
      </w:r>
      <w:r w:rsidRPr="00913469">
        <w:t>such as property lines</w:t>
      </w:r>
      <w:r>
        <w:t xml:space="preserve">). For more information, please visit the U.S. Census </w:t>
      </w:r>
      <w:r w:rsidR="0075609F">
        <w:t>Bureau</w:t>
      </w:r>
      <w:r>
        <w:t xml:space="preserve"> website: </w:t>
      </w:r>
      <w:hyperlink r:id="rId5" w:history="1">
        <w:r w:rsidRPr="00295C8C">
          <w:rPr>
            <w:rStyle w:val="Hyperlink"/>
          </w:rPr>
          <w:t>https://www.census.gov/newsroom/blogs/random-samplings/2011/07/what-are-census-blocks.html</w:t>
        </w:r>
      </w:hyperlink>
      <w:r>
        <w:t xml:space="preserve"> </w:t>
      </w:r>
    </w:p>
    <w:p w:rsidR="007F2742" w:rsidRDefault="007F2742">
      <w:pPr>
        <w:rPr>
          <w:b/>
        </w:rPr>
      </w:pPr>
    </w:p>
    <w:p w:rsidR="0075609F" w:rsidRPr="007F2742" w:rsidRDefault="0075609F">
      <w:pPr>
        <w:rPr>
          <w:b/>
        </w:rPr>
      </w:pPr>
      <w:r w:rsidRPr="007F2742">
        <w:rPr>
          <w:b/>
        </w:rPr>
        <w:t>Why is the Montana corridor divided into seven sections?</w:t>
      </w:r>
    </w:p>
    <w:p w:rsidR="0075609F" w:rsidRDefault="00E54014">
      <w:r>
        <w:t>For the purposes of this study, the Montana corridor is</w:t>
      </w:r>
      <w:r w:rsidRPr="00E54014">
        <w:t xml:space="preserve"> divided into seven sections accommodating the existing transportation analysis zones (TAZs) used by the El Paso MPO in transportation demand modelling, while taking into account population and employment. </w:t>
      </w:r>
      <w:r>
        <w:t>T</w:t>
      </w:r>
      <w:r w:rsidRPr="00E54014">
        <w:t>he section length varie</w:t>
      </w:r>
      <w:r>
        <w:t>s</w:t>
      </w:r>
      <w:r w:rsidRPr="00E54014">
        <w:t xml:space="preserve"> between 2.3 miles and 4.7 miles. About 120,000 residents live within the Montana Ave. corridor and more than 68,000 workers find here their workplace.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569"/>
        <w:gridCol w:w="2280"/>
        <w:gridCol w:w="859"/>
        <w:gridCol w:w="36"/>
        <w:gridCol w:w="1533"/>
        <w:gridCol w:w="1573"/>
      </w:tblGrid>
      <w:tr w:rsidR="00E54014" w:rsidTr="00E54014">
        <w:tblPrEx>
          <w:tblCellMar>
            <w:top w:w="0" w:type="dxa"/>
            <w:bottom w:w="0" w:type="dxa"/>
          </w:tblCellMar>
        </w:tblPrEx>
        <w:trPr>
          <w:trHeight w:val="597"/>
        </w:trPr>
        <w:tc>
          <w:tcPr>
            <w:tcW w:w="1569" w:type="dxa"/>
          </w:tcPr>
          <w:p w:rsidR="00E54014" w:rsidRDefault="00E54014">
            <w:pPr>
              <w:pStyle w:val="Default"/>
              <w:rPr>
                <w:sz w:val="20"/>
                <w:szCs w:val="20"/>
              </w:rPr>
            </w:pPr>
            <w:r>
              <w:rPr>
                <w:b/>
                <w:bCs/>
                <w:sz w:val="20"/>
                <w:szCs w:val="20"/>
              </w:rPr>
              <w:t xml:space="preserve">Montana Ave. Corridor </w:t>
            </w:r>
          </w:p>
        </w:tc>
        <w:tc>
          <w:tcPr>
            <w:tcW w:w="1569" w:type="dxa"/>
          </w:tcPr>
          <w:p w:rsidR="00E54014" w:rsidRDefault="00E54014">
            <w:pPr>
              <w:pStyle w:val="Default"/>
              <w:rPr>
                <w:sz w:val="20"/>
                <w:szCs w:val="20"/>
              </w:rPr>
            </w:pPr>
            <w:r>
              <w:rPr>
                <w:b/>
                <w:bCs/>
                <w:sz w:val="20"/>
                <w:szCs w:val="20"/>
              </w:rPr>
              <w:t xml:space="preserve">From </w:t>
            </w:r>
          </w:p>
        </w:tc>
        <w:tc>
          <w:tcPr>
            <w:tcW w:w="2280" w:type="dxa"/>
          </w:tcPr>
          <w:p w:rsidR="00E54014" w:rsidRDefault="00E54014">
            <w:pPr>
              <w:pStyle w:val="Default"/>
              <w:rPr>
                <w:sz w:val="20"/>
                <w:szCs w:val="20"/>
              </w:rPr>
            </w:pPr>
            <w:r>
              <w:rPr>
                <w:b/>
                <w:bCs/>
                <w:sz w:val="20"/>
                <w:szCs w:val="20"/>
              </w:rPr>
              <w:t xml:space="preserve">To </w:t>
            </w:r>
          </w:p>
        </w:tc>
        <w:tc>
          <w:tcPr>
            <w:tcW w:w="859" w:type="dxa"/>
          </w:tcPr>
          <w:p w:rsidR="00E54014" w:rsidRDefault="00E54014">
            <w:pPr>
              <w:pStyle w:val="Default"/>
              <w:rPr>
                <w:sz w:val="20"/>
                <w:szCs w:val="20"/>
              </w:rPr>
            </w:pPr>
            <w:r>
              <w:rPr>
                <w:b/>
                <w:bCs/>
                <w:sz w:val="20"/>
                <w:szCs w:val="20"/>
              </w:rPr>
              <w:t xml:space="preserve">Length </w:t>
            </w:r>
          </w:p>
        </w:tc>
        <w:tc>
          <w:tcPr>
            <w:tcW w:w="1569" w:type="dxa"/>
            <w:gridSpan w:val="2"/>
          </w:tcPr>
          <w:p w:rsidR="00E54014" w:rsidRDefault="00E54014">
            <w:pPr>
              <w:pStyle w:val="Default"/>
              <w:rPr>
                <w:sz w:val="20"/>
                <w:szCs w:val="20"/>
              </w:rPr>
            </w:pPr>
            <w:r>
              <w:rPr>
                <w:b/>
                <w:bCs/>
                <w:sz w:val="20"/>
                <w:szCs w:val="20"/>
              </w:rPr>
              <w:t xml:space="preserve">Population </w:t>
            </w:r>
          </w:p>
          <w:p w:rsidR="00E54014" w:rsidRDefault="00E54014">
            <w:pPr>
              <w:pStyle w:val="Default"/>
              <w:rPr>
                <w:sz w:val="20"/>
                <w:szCs w:val="20"/>
              </w:rPr>
            </w:pPr>
            <w:r>
              <w:rPr>
                <w:b/>
                <w:bCs/>
                <w:sz w:val="20"/>
                <w:szCs w:val="20"/>
              </w:rPr>
              <w:t xml:space="preserve">within 1 mile </w:t>
            </w:r>
          </w:p>
          <w:p w:rsidR="00E54014" w:rsidRDefault="00E54014">
            <w:pPr>
              <w:pStyle w:val="Default"/>
              <w:rPr>
                <w:sz w:val="20"/>
                <w:szCs w:val="20"/>
              </w:rPr>
            </w:pPr>
            <w:r>
              <w:rPr>
                <w:b/>
                <w:bCs/>
                <w:sz w:val="20"/>
                <w:szCs w:val="20"/>
              </w:rPr>
              <w:t xml:space="preserve">(U.S. Census Bureau, 2011-2015 average) </w:t>
            </w:r>
          </w:p>
        </w:tc>
        <w:tc>
          <w:tcPr>
            <w:tcW w:w="1573" w:type="dxa"/>
          </w:tcPr>
          <w:p w:rsidR="00E54014" w:rsidRDefault="00E54014">
            <w:pPr>
              <w:pStyle w:val="Default"/>
              <w:rPr>
                <w:sz w:val="20"/>
                <w:szCs w:val="20"/>
              </w:rPr>
            </w:pPr>
            <w:r>
              <w:rPr>
                <w:b/>
                <w:bCs/>
                <w:sz w:val="20"/>
                <w:szCs w:val="20"/>
              </w:rPr>
              <w:t xml:space="preserve">Employment </w:t>
            </w:r>
          </w:p>
          <w:p w:rsidR="00E54014" w:rsidRDefault="00E54014">
            <w:pPr>
              <w:pStyle w:val="Default"/>
              <w:rPr>
                <w:sz w:val="20"/>
                <w:szCs w:val="20"/>
              </w:rPr>
            </w:pPr>
            <w:r>
              <w:rPr>
                <w:b/>
                <w:bCs/>
                <w:sz w:val="20"/>
                <w:szCs w:val="20"/>
              </w:rPr>
              <w:t xml:space="preserve">within 1 mile </w:t>
            </w:r>
          </w:p>
          <w:p w:rsidR="00E54014" w:rsidRDefault="00E54014">
            <w:pPr>
              <w:pStyle w:val="Default"/>
              <w:rPr>
                <w:sz w:val="20"/>
                <w:szCs w:val="20"/>
              </w:rPr>
            </w:pPr>
            <w:r>
              <w:rPr>
                <w:b/>
                <w:bCs/>
                <w:sz w:val="20"/>
                <w:szCs w:val="20"/>
              </w:rPr>
              <w:t xml:space="preserve">(U.S. Census Bureau, 2011-2015 average)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1 </w:t>
            </w:r>
          </w:p>
        </w:tc>
        <w:tc>
          <w:tcPr>
            <w:tcW w:w="1569" w:type="dxa"/>
          </w:tcPr>
          <w:p w:rsidR="00E54014" w:rsidRDefault="00E54014">
            <w:pPr>
              <w:pStyle w:val="Default"/>
              <w:rPr>
                <w:sz w:val="20"/>
                <w:szCs w:val="20"/>
              </w:rPr>
            </w:pPr>
            <w:proofErr w:type="spellStart"/>
            <w:r>
              <w:rPr>
                <w:sz w:val="20"/>
                <w:szCs w:val="20"/>
              </w:rPr>
              <w:t>Piedras</w:t>
            </w:r>
            <w:proofErr w:type="spellEnd"/>
            <w:r>
              <w:rPr>
                <w:sz w:val="20"/>
                <w:szCs w:val="20"/>
              </w:rPr>
              <w:t xml:space="preserve"> St. </w:t>
            </w:r>
          </w:p>
        </w:tc>
        <w:tc>
          <w:tcPr>
            <w:tcW w:w="2280" w:type="dxa"/>
          </w:tcPr>
          <w:p w:rsidR="00E54014" w:rsidRDefault="00E54014">
            <w:pPr>
              <w:pStyle w:val="Default"/>
              <w:rPr>
                <w:sz w:val="20"/>
                <w:szCs w:val="20"/>
              </w:rPr>
            </w:pPr>
            <w:r>
              <w:rPr>
                <w:sz w:val="20"/>
                <w:szCs w:val="20"/>
              </w:rPr>
              <w:t xml:space="preserve">E </w:t>
            </w:r>
            <w:proofErr w:type="spellStart"/>
            <w:r>
              <w:rPr>
                <w:sz w:val="20"/>
                <w:szCs w:val="20"/>
              </w:rPr>
              <w:t>Paisano</w:t>
            </w:r>
            <w:proofErr w:type="spellEnd"/>
            <w:r>
              <w:rPr>
                <w:sz w:val="20"/>
                <w:szCs w:val="20"/>
              </w:rPr>
              <w:t xml:space="preserve"> Dr. </w:t>
            </w:r>
          </w:p>
        </w:tc>
        <w:tc>
          <w:tcPr>
            <w:tcW w:w="859" w:type="dxa"/>
          </w:tcPr>
          <w:p w:rsidR="00E54014" w:rsidRDefault="00E54014">
            <w:pPr>
              <w:pStyle w:val="Default"/>
              <w:rPr>
                <w:sz w:val="20"/>
                <w:szCs w:val="20"/>
              </w:rPr>
            </w:pPr>
            <w:r>
              <w:rPr>
                <w:sz w:val="20"/>
                <w:szCs w:val="20"/>
              </w:rPr>
              <w:t xml:space="preserve">2.5 mi </w:t>
            </w:r>
          </w:p>
        </w:tc>
        <w:tc>
          <w:tcPr>
            <w:tcW w:w="1569" w:type="dxa"/>
            <w:gridSpan w:val="2"/>
          </w:tcPr>
          <w:p w:rsidR="00E54014" w:rsidRDefault="00E54014">
            <w:pPr>
              <w:pStyle w:val="Default"/>
              <w:rPr>
                <w:sz w:val="20"/>
                <w:szCs w:val="20"/>
              </w:rPr>
            </w:pPr>
            <w:r>
              <w:rPr>
                <w:sz w:val="20"/>
                <w:szCs w:val="20"/>
              </w:rPr>
              <w:t xml:space="preserve">30,897 </w:t>
            </w:r>
          </w:p>
        </w:tc>
        <w:tc>
          <w:tcPr>
            <w:tcW w:w="1573" w:type="dxa"/>
          </w:tcPr>
          <w:p w:rsidR="00E54014" w:rsidRDefault="00E54014">
            <w:pPr>
              <w:pStyle w:val="Default"/>
              <w:rPr>
                <w:sz w:val="20"/>
                <w:szCs w:val="20"/>
              </w:rPr>
            </w:pPr>
            <w:r>
              <w:rPr>
                <w:sz w:val="20"/>
                <w:szCs w:val="20"/>
              </w:rPr>
              <w:t xml:space="preserve">19,200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2 </w:t>
            </w:r>
          </w:p>
        </w:tc>
        <w:tc>
          <w:tcPr>
            <w:tcW w:w="1569" w:type="dxa"/>
          </w:tcPr>
          <w:p w:rsidR="00E54014" w:rsidRDefault="00E54014">
            <w:pPr>
              <w:pStyle w:val="Default"/>
              <w:rPr>
                <w:sz w:val="20"/>
                <w:szCs w:val="20"/>
              </w:rPr>
            </w:pPr>
            <w:r>
              <w:rPr>
                <w:sz w:val="20"/>
                <w:szCs w:val="20"/>
              </w:rPr>
              <w:t xml:space="preserve">E </w:t>
            </w:r>
            <w:proofErr w:type="spellStart"/>
            <w:r>
              <w:rPr>
                <w:sz w:val="20"/>
                <w:szCs w:val="20"/>
              </w:rPr>
              <w:t>Paisano</w:t>
            </w:r>
            <w:proofErr w:type="spellEnd"/>
            <w:r>
              <w:rPr>
                <w:sz w:val="20"/>
                <w:szCs w:val="20"/>
              </w:rPr>
              <w:t xml:space="preserve"> Dr. </w:t>
            </w:r>
          </w:p>
        </w:tc>
        <w:tc>
          <w:tcPr>
            <w:tcW w:w="2280" w:type="dxa"/>
          </w:tcPr>
          <w:p w:rsidR="00E54014" w:rsidRDefault="00E54014">
            <w:pPr>
              <w:pStyle w:val="Default"/>
              <w:rPr>
                <w:sz w:val="20"/>
                <w:szCs w:val="20"/>
              </w:rPr>
            </w:pPr>
            <w:r>
              <w:rPr>
                <w:sz w:val="20"/>
                <w:szCs w:val="20"/>
              </w:rPr>
              <w:t xml:space="preserve">Hawkins Blvd. </w:t>
            </w:r>
          </w:p>
        </w:tc>
        <w:tc>
          <w:tcPr>
            <w:tcW w:w="859" w:type="dxa"/>
          </w:tcPr>
          <w:p w:rsidR="00E54014" w:rsidRDefault="00E54014">
            <w:pPr>
              <w:pStyle w:val="Default"/>
              <w:rPr>
                <w:sz w:val="20"/>
                <w:szCs w:val="20"/>
              </w:rPr>
            </w:pPr>
            <w:r>
              <w:rPr>
                <w:sz w:val="20"/>
                <w:szCs w:val="20"/>
              </w:rPr>
              <w:t xml:space="preserve">3.0 mi </w:t>
            </w:r>
          </w:p>
        </w:tc>
        <w:tc>
          <w:tcPr>
            <w:tcW w:w="1569" w:type="dxa"/>
            <w:gridSpan w:val="2"/>
          </w:tcPr>
          <w:p w:rsidR="00E54014" w:rsidRDefault="00E54014">
            <w:pPr>
              <w:pStyle w:val="Default"/>
              <w:rPr>
                <w:sz w:val="20"/>
                <w:szCs w:val="20"/>
              </w:rPr>
            </w:pPr>
            <w:r>
              <w:rPr>
                <w:sz w:val="20"/>
                <w:szCs w:val="20"/>
              </w:rPr>
              <w:t xml:space="preserve">17,001 </w:t>
            </w:r>
          </w:p>
        </w:tc>
        <w:tc>
          <w:tcPr>
            <w:tcW w:w="1573" w:type="dxa"/>
          </w:tcPr>
          <w:p w:rsidR="00E54014" w:rsidRDefault="00E54014">
            <w:pPr>
              <w:pStyle w:val="Default"/>
              <w:rPr>
                <w:sz w:val="20"/>
                <w:szCs w:val="20"/>
              </w:rPr>
            </w:pPr>
            <w:r>
              <w:rPr>
                <w:sz w:val="20"/>
                <w:szCs w:val="20"/>
              </w:rPr>
              <w:t xml:space="preserve">36,462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3 </w:t>
            </w:r>
          </w:p>
        </w:tc>
        <w:tc>
          <w:tcPr>
            <w:tcW w:w="1569" w:type="dxa"/>
          </w:tcPr>
          <w:p w:rsidR="00E54014" w:rsidRDefault="00E54014">
            <w:pPr>
              <w:pStyle w:val="Default"/>
              <w:rPr>
                <w:sz w:val="20"/>
                <w:szCs w:val="20"/>
              </w:rPr>
            </w:pPr>
            <w:r>
              <w:rPr>
                <w:sz w:val="20"/>
                <w:szCs w:val="20"/>
              </w:rPr>
              <w:t xml:space="preserve">Hawkins Blvd. </w:t>
            </w:r>
          </w:p>
        </w:tc>
        <w:tc>
          <w:tcPr>
            <w:tcW w:w="2280" w:type="dxa"/>
          </w:tcPr>
          <w:p w:rsidR="00E54014" w:rsidRDefault="00E54014">
            <w:pPr>
              <w:pStyle w:val="Default"/>
              <w:rPr>
                <w:sz w:val="20"/>
                <w:szCs w:val="20"/>
              </w:rPr>
            </w:pPr>
            <w:r>
              <w:rPr>
                <w:sz w:val="20"/>
                <w:szCs w:val="20"/>
              </w:rPr>
              <w:t xml:space="preserve">N Yarbrough Dr. </w:t>
            </w:r>
          </w:p>
        </w:tc>
        <w:tc>
          <w:tcPr>
            <w:tcW w:w="859" w:type="dxa"/>
          </w:tcPr>
          <w:p w:rsidR="00E54014" w:rsidRDefault="00E54014">
            <w:pPr>
              <w:pStyle w:val="Default"/>
              <w:rPr>
                <w:sz w:val="20"/>
                <w:szCs w:val="20"/>
              </w:rPr>
            </w:pPr>
            <w:r>
              <w:rPr>
                <w:sz w:val="20"/>
                <w:szCs w:val="20"/>
              </w:rPr>
              <w:t xml:space="preserve">2.3 mi </w:t>
            </w:r>
          </w:p>
        </w:tc>
        <w:tc>
          <w:tcPr>
            <w:tcW w:w="1569" w:type="dxa"/>
            <w:gridSpan w:val="2"/>
          </w:tcPr>
          <w:p w:rsidR="00E54014" w:rsidRDefault="00E54014">
            <w:pPr>
              <w:pStyle w:val="Default"/>
              <w:rPr>
                <w:sz w:val="20"/>
                <w:szCs w:val="20"/>
              </w:rPr>
            </w:pPr>
            <w:r>
              <w:rPr>
                <w:sz w:val="20"/>
                <w:szCs w:val="20"/>
              </w:rPr>
              <w:t xml:space="preserve">13,758 </w:t>
            </w:r>
          </w:p>
        </w:tc>
        <w:tc>
          <w:tcPr>
            <w:tcW w:w="1573" w:type="dxa"/>
          </w:tcPr>
          <w:p w:rsidR="00E54014" w:rsidRDefault="00E54014">
            <w:pPr>
              <w:pStyle w:val="Default"/>
              <w:rPr>
                <w:sz w:val="20"/>
                <w:szCs w:val="20"/>
              </w:rPr>
            </w:pPr>
            <w:r>
              <w:rPr>
                <w:sz w:val="20"/>
                <w:szCs w:val="20"/>
              </w:rPr>
              <w:t xml:space="preserve">8,686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4 </w:t>
            </w:r>
          </w:p>
        </w:tc>
        <w:tc>
          <w:tcPr>
            <w:tcW w:w="1569" w:type="dxa"/>
          </w:tcPr>
          <w:p w:rsidR="00E54014" w:rsidRDefault="00E54014">
            <w:pPr>
              <w:pStyle w:val="Default"/>
              <w:rPr>
                <w:sz w:val="20"/>
                <w:szCs w:val="20"/>
              </w:rPr>
            </w:pPr>
            <w:r>
              <w:rPr>
                <w:sz w:val="20"/>
                <w:szCs w:val="20"/>
              </w:rPr>
              <w:t xml:space="preserve">N Yarbrough Dr. </w:t>
            </w:r>
          </w:p>
        </w:tc>
        <w:tc>
          <w:tcPr>
            <w:tcW w:w="2280" w:type="dxa"/>
          </w:tcPr>
          <w:p w:rsidR="00E54014" w:rsidRDefault="00E54014">
            <w:pPr>
              <w:pStyle w:val="Default"/>
              <w:rPr>
                <w:sz w:val="20"/>
                <w:szCs w:val="20"/>
              </w:rPr>
            </w:pPr>
            <w:r>
              <w:rPr>
                <w:sz w:val="20"/>
                <w:szCs w:val="20"/>
              </w:rPr>
              <w:t xml:space="preserve">Joe Battle Blvd. </w:t>
            </w:r>
          </w:p>
        </w:tc>
        <w:tc>
          <w:tcPr>
            <w:tcW w:w="859" w:type="dxa"/>
          </w:tcPr>
          <w:p w:rsidR="00E54014" w:rsidRDefault="00E54014">
            <w:pPr>
              <w:pStyle w:val="Default"/>
              <w:rPr>
                <w:sz w:val="20"/>
                <w:szCs w:val="20"/>
              </w:rPr>
            </w:pPr>
            <w:r>
              <w:rPr>
                <w:sz w:val="20"/>
                <w:szCs w:val="20"/>
              </w:rPr>
              <w:t xml:space="preserve">3.3 mi </w:t>
            </w:r>
          </w:p>
        </w:tc>
        <w:tc>
          <w:tcPr>
            <w:tcW w:w="1569" w:type="dxa"/>
            <w:gridSpan w:val="2"/>
          </w:tcPr>
          <w:p w:rsidR="00E54014" w:rsidRDefault="00E54014">
            <w:pPr>
              <w:pStyle w:val="Default"/>
              <w:rPr>
                <w:sz w:val="20"/>
                <w:szCs w:val="20"/>
              </w:rPr>
            </w:pPr>
            <w:r>
              <w:rPr>
                <w:sz w:val="20"/>
                <w:szCs w:val="20"/>
              </w:rPr>
              <w:t xml:space="preserve">35,319 </w:t>
            </w:r>
          </w:p>
        </w:tc>
        <w:tc>
          <w:tcPr>
            <w:tcW w:w="1573" w:type="dxa"/>
          </w:tcPr>
          <w:p w:rsidR="00E54014" w:rsidRDefault="00E54014">
            <w:pPr>
              <w:pStyle w:val="Default"/>
              <w:rPr>
                <w:sz w:val="20"/>
                <w:szCs w:val="20"/>
              </w:rPr>
            </w:pPr>
            <w:r>
              <w:rPr>
                <w:sz w:val="20"/>
                <w:szCs w:val="20"/>
              </w:rPr>
              <w:t xml:space="preserve">2,536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5 </w:t>
            </w:r>
          </w:p>
        </w:tc>
        <w:tc>
          <w:tcPr>
            <w:tcW w:w="1569" w:type="dxa"/>
          </w:tcPr>
          <w:p w:rsidR="00E54014" w:rsidRDefault="00E54014">
            <w:pPr>
              <w:pStyle w:val="Default"/>
              <w:rPr>
                <w:sz w:val="20"/>
                <w:szCs w:val="20"/>
              </w:rPr>
            </w:pPr>
            <w:r>
              <w:rPr>
                <w:sz w:val="20"/>
                <w:szCs w:val="20"/>
              </w:rPr>
              <w:t xml:space="preserve">Joe Battle Blvd. </w:t>
            </w:r>
          </w:p>
        </w:tc>
        <w:tc>
          <w:tcPr>
            <w:tcW w:w="2280" w:type="dxa"/>
          </w:tcPr>
          <w:p w:rsidR="00E54014" w:rsidRDefault="00E54014">
            <w:pPr>
              <w:pStyle w:val="Default"/>
              <w:rPr>
                <w:sz w:val="20"/>
                <w:szCs w:val="20"/>
              </w:rPr>
            </w:pPr>
            <w:r>
              <w:rPr>
                <w:sz w:val="20"/>
                <w:szCs w:val="20"/>
              </w:rPr>
              <w:t xml:space="preserve">Zaragoza Rd. </w:t>
            </w:r>
          </w:p>
        </w:tc>
        <w:tc>
          <w:tcPr>
            <w:tcW w:w="859" w:type="dxa"/>
          </w:tcPr>
          <w:p w:rsidR="00E54014" w:rsidRDefault="00E54014">
            <w:pPr>
              <w:pStyle w:val="Default"/>
              <w:rPr>
                <w:sz w:val="20"/>
                <w:szCs w:val="20"/>
              </w:rPr>
            </w:pPr>
            <w:r>
              <w:rPr>
                <w:sz w:val="20"/>
                <w:szCs w:val="20"/>
              </w:rPr>
              <w:t xml:space="preserve">3.9 mi </w:t>
            </w:r>
          </w:p>
        </w:tc>
        <w:tc>
          <w:tcPr>
            <w:tcW w:w="1569" w:type="dxa"/>
            <w:gridSpan w:val="2"/>
          </w:tcPr>
          <w:p w:rsidR="00E54014" w:rsidRDefault="00E54014">
            <w:pPr>
              <w:pStyle w:val="Default"/>
              <w:rPr>
                <w:sz w:val="20"/>
                <w:szCs w:val="20"/>
              </w:rPr>
            </w:pPr>
            <w:r>
              <w:rPr>
                <w:sz w:val="20"/>
                <w:szCs w:val="20"/>
              </w:rPr>
              <w:t xml:space="preserve">20,817 </w:t>
            </w:r>
          </w:p>
        </w:tc>
        <w:tc>
          <w:tcPr>
            <w:tcW w:w="1573" w:type="dxa"/>
          </w:tcPr>
          <w:p w:rsidR="00E54014" w:rsidRDefault="00E54014">
            <w:pPr>
              <w:pStyle w:val="Default"/>
              <w:rPr>
                <w:sz w:val="20"/>
                <w:szCs w:val="20"/>
              </w:rPr>
            </w:pPr>
            <w:r>
              <w:rPr>
                <w:sz w:val="20"/>
                <w:szCs w:val="20"/>
              </w:rPr>
              <w:t xml:space="preserve">1,813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6 </w:t>
            </w:r>
          </w:p>
        </w:tc>
        <w:tc>
          <w:tcPr>
            <w:tcW w:w="1569" w:type="dxa"/>
          </w:tcPr>
          <w:p w:rsidR="00E54014" w:rsidRDefault="00E54014">
            <w:pPr>
              <w:pStyle w:val="Default"/>
              <w:rPr>
                <w:sz w:val="20"/>
                <w:szCs w:val="20"/>
              </w:rPr>
            </w:pPr>
            <w:r>
              <w:rPr>
                <w:sz w:val="20"/>
                <w:szCs w:val="20"/>
              </w:rPr>
              <w:t xml:space="preserve">Zaragoza Rd. </w:t>
            </w:r>
          </w:p>
        </w:tc>
        <w:tc>
          <w:tcPr>
            <w:tcW w:w="2280" w:type="dxa"/>
          </w:tcPr>
          <w:p w:rsidR="00E54014" w:rsidRDefault="00E54014">
            <w:pPr>
              <w:pStyle w:val="Default"/>
              <w:rPr>
                <w:sz w:val="20"/>
                <w:szCs w:val="20"/>
              </w:rPr>
            </w:pPr>
            <w:r>
              <w:rPr>
                <w:sz w:val="20"/>
                <w:szCs w:val="20"/>
              </w:rPr>
              <w:t xml:space="preserve">Araceli Ave. </w:t>
            </w:r>
          </w:p>
        </w:tc>
        <w:tc>
          <w:tcPr>
            <w:tcW w:w="859" w:type="dxa"/>
          </w:tcPr>
          <w:p w:rsidR="00E54014" w:rsidRDefault="00E54014">
            <w:pPr>
              <w:pStyle w:val="Default"/>
              <w:rPr>
                <w:sz w:val="20"/>
                <w:szCs w:val="20"/>
              </w:rPr>
            </w:pPr>
            <w:r>
              <w:rPr>
                <w:sz w:val="20"/>
                <w:szCs w:val="20"/>
              </w:rPr>
              <w:t xml:space="preserve">4.7 mi </w:t>
            </w:r>
          </w:p>
        </w:tc>
        <w:tc>
          <w:tcPr>
            <w:tcW w:w="1569" w:type="dxa"/>
            <w:gridSpan w:val="2"/>
          </w:tcPr>
          <w:p w:rsidR="00E54014" w:rsidRDefault="00E54014">
            <w:pPr>
              <w:pStyle w:val="Default"/>
              <w:rPr>
                <w:sz w:val="20"/>
                <w:szCs w:val="20"/>
              </w:rPr>
            </w:pPr>
            <w:r>
              <w:rPr>
                <w:sz w:val="20"/>
                <w:szCs w:val="20"/>
              </w:rPr>
              <w:t xml:space="preserve">8,148 </w:t>
            </w:r>
          </w:p>
        </w:tc>
        <w:tc>
          <w:tcPr>
            <w:tcW w:w="1573" w:type="dxa"/>
          </w:tcPr>
          <w:p w:rsidR="00E54014" w:rsidRDefault="00E54014">
            <w:pPr>
              <w:pStyle w:val="Default"/>
              <w:rPr>
                <w:sz w:val="20"/>
                <w:szCs w:val="20"/>
              </w:rPr>
            </w:pPr>
            <w:r>
              <w:rPr>
                <w:sz w:val="20"/>
                <w:szCs w:val="20"/>
              </w:rPr>
              <w:t xml:space="preserve">286 </w:t>
            </w:r>
          </w:p>
        </w:tc>
      </w:tr>
      <w:tr w:rsidR="00E54014" w:rsidTr="00E54014">
        <w:tblPrEx>
          <w:tblCellMar>
            <w:top w:w="0" w:type="dxa"/>
            <w:bottom w:w="0" w:type="dxa"/>
          </w:tblCellMar>
        </w:tblPrEx>
        <w:trPr>
          <w:trHeight w:val="134"/>
        </w:trPr>
        <w:tc>
          <w:tcPr>
            <w:tcW w:w="1569" w:type="dxa"/>
          </w:tcPr>
          <w:p w:rsidR="00E54014" w:rsidRDefault="00E54014">
            <w:pPr>
              <w:pStyle w:val="Default"/>
              <w:rPr>
                <w:sz w:val="20"/>
                <w:szCs w:val="20"/>
              </w:rPr>
            </w:pPr>
            <w:r>
              <w:rPr>
                <w:sz w:val="20"/>
                <w:szCs w:val="20"/>
              </w:rPr>
              <w:t xml:space="preserve">Section 7 </w:t>
            </w:r>
          </w:p>
        </w:tc>
        <w:tc>
          <w:tcPr>
            <w:tcW w:w="1569" w:type="dxa"/>
          </w:tcPr>
          <w:p w:rsidR="00E54014" w:rsidRDefault="00E54014">
            <w:pPr>
              <w:pStyle w:val="Default"/>
              <w:rPr>
                <w:sz w:val="20"/>
                <w:szCs w:val="20"/>
              </w:rPr>
            </w:pPr>
            <w:r>
              <w:rPr>
                <w:sz w:val="20"/>
                <w:szCs w:val="20"/>
              </w:rPr>
              <w:t xml:space="preserve">Araceli Ave. </w:t>
            </w:r>
          </w:p>
        </w:tc>
        <w:tc>
          <w:tcPr>
            <w:tcW w:w="2280" w:type="dxa"/>
          </w:tcPr>
          <w:p w:rsidR="00E54014" w:rsidRDefault="00E54014">
            <w:pPr>
              <w:pStyle w:val="Default"/>
              <w:rPr>
                <w:sz w:val="20"/>
                <w:szCs w:val="20"/>
              </w:rPr>
            </w:pPr>
            <w:proofErr w:type="spellStart"/>
            <w:r>
              <w:rPr>
                <w:sz w:val="20"/>
                <w:szCs w:val="20"/>
              </w:rPr>
              <w:t>Hueco</w:t>
            </w:r>
            <w:proofErr w:type="spellEnd"/>
            <w:r>
              <w:rPr>
                <w:sz w:val="20"/>
                <w:szCs w:val="20"/>
              </w:rPr>
              <w:t xml:space="preserve"> Tanks Rd. </w:t>
            </w:r>
          </w:p>
        </w:tc>
        <w:tc>
          <w:tcPr>
            <w:tcW w:w="859" w:type="dxa"/>
          </w:tcPr>
          <w:p w:rsidR="00E54014" w:rsidRDefault="00E54014">
            <w:pPr>
              <w:pStyle w:val="Default"/>
              <w:rPr>
                <w:sz w:val="20"/>
                <w:szCs w:val="20"/>
              </w:rPr>
            </w:pPr>
            <w:r>
              <w:rPr>
                <w:sz w:val="20"/>
                <w:szCs w:val="20"/>
              </w:rPr>
              <w:t xml:space="preserve">4.0 mi </w:t>
            </w:r>
          </w:p>
        </w:tc>
        <w:tc>
          <w:tcPr>
            <w:tcW w:w="1569" w:type="dxa"/>
            <w:gridSpan w:val="2"/>
          </w:tcPr>
          <w:p w:rsidR="00E54014" w:rsidRDefault="00E54014">
            <w:pPr>
              <w:pStyle w:val="Default"/>
              <w:rPr>
                <w:sz w:val="20"/>
                <w:szCs w:val="20"/>
              </w:rPr>
            </w:pPr>
            <w:r>
              <w:rPr>
                <w:sz w:val="20"/>
                <w:szCs w:val="20"/>
              </w:rPr>
              <w:t xml:space="preserve">644 </w:t>
            </w:r>
          </w:p>
        </w:tc>
        <w:tc>
          <w:tcPr>
            <w:tcW w:w="1573" w:type="dxa"/>
          </w:tcPr>
          <w:p w:rsidR="00E54014" w:rsidRDefault="00E54014">
            <w:pPr>
              <w:pStyle w:val="Default"/>
              <w:rPr>
                <w:sz w:val="20"/>
                <w:szCs w:val="20"/>
              </w:rPr>
            </w:pPr>
            <w:r>
              <w:rPr>
                <w:sz w:val="20"/>
                <w:szCs w:val="20"/>
              </w:rPr>
              <w:t xml:space="preserve">2 </w:t>
            </w:r>
          </w:p>
        </w:tc>
      </w:tr>
      <w:tr w:rsidR="00E54014" w:rsidTr="003D6165">
        <w:tblPrEx>
          <w:tblCellMar>
            <w:top w:w="0" w:type="dxa"/>
            <w:bottom w:w="0" w:type="dxa"/>
          </w:tblCellMar>
        </w:tblPrEx>
        <w:trPr>
          <w:trHeight w:val="137"/>
        </w:trPr>
        <w:tc>
          <w:tcPr>
            <w:tcW w:w="5418" w:type="dxa"/>
            <w:gridSpan w:val="3"/>
          </w:tcPr>
          <w:p w:rsidR="00E54014" w:rsidRDefault="00E54014" w:rsidP="00E54014">
            <w:pPr>
              <w:pStyle w:val="Default"/>
              <w:jc w:val="right"/>
              <w:rPr>
                <w:sz w:val="20"/>
                <w:szCs w:val="20"/>
              </w:rPr>
            </w:pPr>
            <w:r>
              <w:rPr>
                <w:b/>
                <w:bCs/>
                <w:sz w:val="20"/>
                <w:szCs w:val="20"/>
              </w:rPr>
              <w:t>Total</w:t>
            </w:r>
          </w:p>
        </w:tc>
        <w:tc>
          <w:tcPr>
            <w:tcW w:w="895" w:type="dxa"/>
            <w:gridSpan w:val="2"/>
          </w:tcPr>
          <w:p w:rsidR="00E54014" w:rsidRDefault="00E54014" w:rsidP="00E54014">
            <w:pPr>
              <w:pStyle w:val="Default"/>
              <w:jc w:val="right"/>
              <w:rPr>
                <w:sz w:val="20"/>
                <w:szCs w:val="20"/>
              </w:rPr>
            </w:pPr>
            <w:r>
              <w:rPr>
                <w:b/>
                <w:bCs/>
                <w:sz w:val="20"/>
                <w:szCs w:val="20"/>
              </w:rPr>
              <w:t>23.7 mi</w:t>
            </w:r>
          </w:p>
        </w:tc>
        <w:tc>
          <w:tcPr>
            <w:tcW w:w="1533" w:type="dxa"/>
          </w:tcPr>
          <w:p w:rsidR="00E54014" w:rsidRDefault="00E54014" w:rsidP="00E54014">
            <w:pPr>
              <w:pStyle w:val="Default"/>
              <w:jc w:val="right"/>
              <w:rPr>
                <w:sz w:val="20"/>
                <w:szCs w:val="20"/>
              </w:rPr>
            </w:pPr>
            <w:r>
              <w:rPr>
                <w:b/>
                <w:bCs/>
                <w:sz w:val="20"/>
                <w:szCs w:val="20"/>
              </w:rPr>
              <w:t>126,585</w:t>
            </w:r>
          </w:p>
        </w:tc>
        <w:tc>
          <w:tcPr>
            <w:tcW w:w="1573" w:type="dxa"/>
          </w:tcPr>
          <w:p w:rsidR="00E54014" w:rsidRDefault="00E54014" w:rsidP="00E54014">
            <w:pPr>
              <w:pStyle w:val="Default"/>
              <w:jc w:val="right"/>
              <w:rPr>
                <w:sz w:val="20"/>
                <w:szCs w:val="20"/>
              </w:rPr>
            </w:pPr>
            <w:r>
              <w:rPr>
                <w:b/>
                <w:bCs/>
                <w:sz w:val="20"/>
                <w:szCs w:val="20"/>
              </w:rPr>
              <w:t xml:space="preserve">68,985 </w:t>
            </w:r>
          </w:p>
        </w:tc>
      </w:tr>
    </w:tbl>
    <w:p w:rsidR="0075609F" w:rsidRDefault="0075609F" w:rsidP="00D927CF"/>
    <w:p w:rsidR="00D927CF" w:rsidRDefault="00D927CF" w:rsidP="00D927CF">
      <w:pPr>
        <w:rPr>
          <w:b/>
        </w:rPr>
      </w:pPr>
      <w:r>
        <w:rPr>
          <w:b/>
        </w:rPr>
        <w:t>How were the performance measures selected?</w:t>
      </w:r>
    </w:p>
    <w:p w:rsidR="00D927CF" w:rsidRDefault="00D927CF" w:rsidP="00D927CF">
      <w:r w:rsidRPr="0005579E">
        <w:t xml:space="preserve">Figure </w:t>
      </w:r>
      <w:r>
        <w:t>below</w:t>
      </w:r>
      <w:r w:rsidRPr="00324CF4">
        <w:t xml:space="preserve"> illustrates the methodology</w:t>
      </w:r>
      <w:r>
        <w:t xml:space="preserve"> beginning with</w:t>
      </w:r>
      <w:r w:rsidRPr="00324CF4">
        <w:t xml:space="preserve"> a review of federal and state guidance, as well as notable peer practices</w:t>
      </w:r>
      <w:r>
        <w:t xml:space="preserve"> used by transportation agencies</w:t>
      </w:r>
      <w:r w:rsidRPr="00324CF4">
        <w:t xml:space="preserve"> in sustainable strategic planning. Performance measures identified during the review of best practices </w:t>
      </w:r>
      <w:r>
        <w:t>are</w:t>
      </w:r>
      <w:r w:rsidRPr="00324CF4">
        <w:t xml:space="preserve"> </w:t>
      </w:r>
      <w:r>
        <w:t xml:space="preserve">then </w:t>
      </w:r>
      <w:r w:rsidRPr="00324CF4">
        <w:t xml:space="preserve">divided into six </w:t>
      </w:r>
      <w:r>
        <w:t>sustainable strategic planning categories</w:t>
      </w:r>
      <w:r w:rsidRPr="00324CF4">
        <w:t xml:space="preserve">: transportation infrastructure, multimodal transportation, safety and security, social impacts and quality of life, economic impacts, and environmental impacts. </w:t>
      </w:r>
      <w:r>
        <w:t xml:space="preserve">A set of performance measures is selected from the list of candidate performance measures identified during the review of notable practices taking into consideration its relevance and level of effort for </w:t>
      </w:r>
      <w:r w:rsidRPr="00324CF4">
        <w:t>data collection and analysis</w:t>
      </w:r>
      <w:r>
        <w:t>. The selected performance measures are also used to monitor the progress towards the achievement of El Paso MPO’s System Planning Block objectives.</w:t>
      </w:r>
    </w:p>
    <w:p w:rsidR="00D927CF" w:rsidRDefault="00D927CF" w:rsidP="00D927CF">
      <w:r>
        <w:object w:dxaOrig="11936" w:dyaOrig="9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0.75pt;height:294pt" o:ole="">
            <v:imagedata r:id="rId6" o:title="" cropbottom="-120f"/>
          </v:shape>
          <o:OLEObject Type="Embed" ProgID="Visio.Drawing.15" ShapeID="_x0000_i1030" DrawAspect="Content" ObjectID="_1584337926" r:id="rId7"/>
        </w:object>
      </w:r>
    </w:p>
    <w:p w:rsidR="00D927CF" w:rsidRDefault="00D927CF">
      <w:pPr>
        <w:rPr>
          <w:b/>
        </w:rPr>
      </w:pPr>
      <w:bookmarkStart w:id="0" w:name="_Hlk493710982"/>
      <w:r w:rsidRPr="00D927CF">
        <w:rPr>
          <w:b/>
        </w:rPr>
        <w:t>What are the Planning Blocks?</w:t>
      </w:r>
    </w:p>
    <w:p w:rsidR="00D927CF" w:rsidRDefault="00F34A85">
      <w:r>
        <w:t xml:space="preserve">The System Planning Blocks </w:t>
      </w:r>
      <w:r w:rsidR="00196939" w:rsidRPr="00196939">
        <w:t>were adopted by the Transportation Policy Board in 2016</w:t>
      </w:r>
      <w:r>
        <w:t xml:space="preserve"> and </w:t>
      </w:r>
      <w:r w:rsidR="00196939" w:rsidRPr="00196939">
        <w:t>consist of four planning scales</w:t>
      </w:r>
      <w:r>
        <w:t xml:space="preserve">. They </w:t>
      </w:r>
      <w:r w:rsidR="00196939" w:rsidRPr="00196939">
        <w:t>provide guidance for metropolitan planning through 24 objectives</w:t>
      </w:r>
      <w:r>
        <w:t>. This pilot study for Montana corridor recommended performance measures for 11 out of the 24 objectives.</w:t>
      </w:r>
    </w:p>
    <w:p w:rsidR="00F34A85" w:rsidRDefault="00F34A85" w:rsidP="00F34A85">
      <w:pPr>
        <w:pStyle w:val="TX"/>
      </w:pPr>
      <w:r w:rsidRPr="00836903">
        <w:rPr>
          <w:szCs w:val="22"/>
        </w:rPr>
        <w:t xml:space="preserve">For the purposes of this study, each </w:t>
      </w:r>
      <w:r>
        <w:rPr>
          <w:szCs w:val="22"/>
        </w:rPr>
        <w:t xml:space="preserve">planning scale is represented by two or three objectives, as </w:t>
      </w:r>
      <w:r w:rsidR="001112E5">
        <w:rPr>
          <w:szCs w:val="22"/>
        </w:rPr>
        <w:t xml:space="preserve">the </w:t>
      </w:r>
      <w:r>
        <w:rPr>
          <w:szCs w:val="22"/>
        </w:rPr>
        <w:t xml:space="preserve">Table </w:t>
      </w:r>
      <w:r w:rsidR="001112E5">
        <w:rPr>
          <w:szCs w:val="22"/>
        </w:rPr>
        <w:t>below</w:t>
      </w:r>
      <w:r>
        <w:rPr>
          <w:szCs w:val="22"/>
        </w:rPr>
        <w:t xml:space="preserve"> illustrates. P</w:t>
      </w:r>
      <w:r>
        <w:t>erformance measures are selected to assess how well the corridor addresses the objectives.</w:t>
      </w:r>
      <w:r w:rsidRPr="00E37C29">
        <w:t xml:space="preserve"> </w:t>
      </w:r>
      <w:r>
        <w:t xml:space="preserve">In this table, performance measures are represented by a unique code </w:t>
      </w:r>
      <w:r w:rsidRPr="008C335B">
        <w:t xml:space="preserve">in the format of </w:t>
      </w:r>
      <w:proofErr w:type="spellStart"/>
      <w:r w:rsidRPr="00C61D70">
        <w:rPr>
          <w:i/>
        </w:rPr>
        <w:t>X</w:t>
      </w:r>
      <w:r>
        <w:rPr>
          <w:i/>
        </w:rPr>
        <w:t>.</w:t>
      </w:r>
      <w:r w:rsidRPr="00C61D70">
        <w:rPr>
          <w:i/>
        </w:rPr>
        <w:t>x</w:t>
      </w:r>
      <w:r>
        <w:rPr>
          <w:i/>
        </w:rPr>
        <w:t>.</w:t>
      </w:r>
      <w:r w:rsidRPr="00C61D70">
        <w:rPr>
          <w:i/>
        </w:rPr>
        <w:t>xx</w:t>
      </w:r>
      <w:proofErr w:type="spellEnd"/>
      <w:r w:rsidRPr="00C61D70">
        <w:t>,</w:t>
      </w:r>
      <w:r w:rsidRPr="008C335B">
        <w:t xml:space="preserve"> where</w:t>
      </w:r>
      <w:r>
        <w:t>:</w:t>
      </w:r>
    </w:p>
    <w:p w:rsidR="00F34A85" w:rsidRPr="00D47259" w:rsidRDefault="00F34A85" w:rsidP="00F34A85">
      <w:pPr>
        <w:pStyle w:val="ListParagraph"/>
        <w:numPr>
          <w:ilvl w:val="0"/>
          <w:numId w:val="2"/>
        </w:numPr>
        <w:spacing w:after="60"/>
        <w:rPr>
          <w:rFonts w:cs="Times New Roman"/>
          <w:sz w:val="22"/>
        </w:rPr>
      </w:pPr>
      <w:r w:rsidRPr="00F30C97">
        <w:rPr>
          <w:rFonts w:cs="Times New Roman"/>
          <w:i/>
          <w:sz w:val="22"/>
        </w:rPr>
        <w:t>X</w:t>
      </w:r>
      <w:r w:rsidRPr="00D47259">
        <w:rPr>
          <w:rFonts w:cs="Times New Roman"/>
          <w:sz w:val="22"/>
        </w:rPr>
        <w:t xml:space="preserve"> … indicates the EMPO System Planning Block (A for within community, B for community to community, C for community to region, and D for region to region), </w:t>
      </w:r>
    </w:p>
    <w:p w:rsidR="00F34A85" w:rsidRPr="00D47259" w:rsidRDefault="00F34A85" w:rsidP="00F34A85">
      <w:pPr>
        <w:pStyle w:val="ListParagraph"/>
        <w:numPr>
          <w:ilvl w:val="0"/>
          <w:numId w:val="2"/>
        </w:numPr>
        <w:spacing w:after="60"/>
        <w:rPr>
          <w:rFonts w:cs="Times New Roman"/>
          <w:sz w:val="22"/>
        </w:rPr>
      </w:pPr>
      <w:r w:rsidRPr="00F30C97">
        <w:rPr>
          <w:rFonts w:cs="Times New Roman"/>
          <w:i/>
          <w:sz w:val="22"/>
        </w:rPr>
        <w:t xml:space="preserve">x </w:t>
      </w:r>
      <w:r w:rsidRPr="00D47259">
        <w:rPr>
          <w:rFonts w:cs="Times New Roman"/>
          <w:sz w:val="22"/>
        </w:rPr>
        <w:t>… indicates the objective it addresses</w:t>
      </w:r>
      <w:r>
        <w:rPr>
          <w:rFonts w:cs="Times New Roman"/>
          <w:sz w:val="22"/>
        </w:rPr>
        <w:t xml:space="preserve"> for the corresponding planning block</w:t>
      </w:r>
      <w:r w:rsidRPr="00D47259">
        <w:rPr>
          <w:rFonts w:cs="Times New Roman"/>
          <w:sz w:val="22"/>
        </w:rPr>
        <w:t xml:space="preserve">, and </w:t>
      </w:r>
    </w:p>
    <w:p w:rsidR="00F34A85" w:rsidRPr="00D47259" w:rsidRDefault="00F34A85" w:rsidP="00F34A85">
      <w:pPr>
        <w:pStyle w:val="ListParagraph"/>
        <w:numPr>
          <w:ilvl w:val="0"/>
          <w:numId w:val="2"/>
        </w:numPr>
        <w:spacing w:after="60"/>
        <w:rPr>
          <w:rFonts w:cs="Times New Roman"/>
          <w:sz w:val="22"/>
        </w:rPr>
      </w:pPr>
      <w:r w:rsidRPr="00F30C97">
        <w:rPr>
          <w:rFonts w:cs="Times New Roman"/>
          <w:i/>
          <w:sz w:val="22"/>
        </w:rPr>
        <w:t>xx</w:t>
      </w:r>
      <w:r w:rsidRPr="00D47259">
        <w:rPr>
          <w:rFonts w:cs="Times New Roman"/>
          <w:sz w:val="22"/>
        </w:rPr>
        <w:t xml:space="preserve"> … distinguishes between performance measures </w:t>
      </w:r>
      <w:r>
        <w:rPr>
          <w:rFonts w:cs="Times New Roman"/>
          <w:sz w:val="22"/>
        </w:rPr>
        <w:t>when</w:t>
      </w:r>
      <w:r w:rsidRPr="00D47259">
        <w:rPr>
          <w:rFonts w:cs="Times New Roman"/>
          <w:sz w:val="22"/>
        </w:rPr>
        <w:t xml:space="preserve"> one objective </w:t>
      </w:r>
      <w:r>
        <w:rPr>
          <w:rFonts w:cs="Times New Roman"/>
          <w:sz w:val="22"/>
        </w:rPr>
        <w:t xml:space="preserve">is addressed by </w:t>
      </w:r>
      <w:r w:rsidRPr="00D47259">
        <w:rPr>
          <w:rFonts w:cs="Times New Roman"/>
          <w:sz w:val="22"/>
        </w:rPr>
        <w:t>multiple performance measures</w:t>
      </w:r>
      <w:r>
        <w:rPr>
          <w:rFonts w:cs="Times New Roman"/>
          <w:sz w:val="22"/>
        </w:rPr>
        <w:t>.</w:t>
      </w:r>
    </w:p>
    <w:p w:rsidR="00F34A85" w:rsidRPr="00196939" w:rsidRDefault="00F34A85"/>
    <w:tbl>
      <w:tblPr>
        <w:tblStyle w:val="TableGrid"/>
        <w:tblW w:w="0" w:type="auto"/>
        <w:jc w:val="center"/>
        <w:tblLook w:val="04A0" w:firstRow="1" w:lastRow="0" w:firstColumn="1" w:lastColumn="0" w:noHBand="0" w:noVBand="1"/>
      </w:tblPr>
      <w:tblGrid>
        <w:gridCol w:w="2065"/>
        <w:gridCol w:w="5490"/>
        <w:gridCol w:w="1795"/>
      </w:tblGrid>
      <w:tr w:rsidR="00F34A85" w:rsidRPr="008C335B" w:rsidTr="005534F4">
        <w:trPr>
          <w:jc w:val="center"/>
        </w:trPr>
        <w:tc>
          <w:tcPr>
            <w:tcW w:w="2065" w:type="dxa"/>
            <w:shd w:val="clear" w:color="auto" w:fill="D9D9D9" w:themeFill="background1" w:themeFillShade="D9"/>
            <w:vAlign w:val="center"/>
          </w:tcPr>
          <w:p w:rsidR="00F34A85" w:rsidRPr="008C335B" w:rsidRDefault="00F34A85" w:rsidP="005534F4">
            <w:pPr>
              <w:jc w:val="center"/>
              <w:rPr>
                <w:b/>
                <w:sz w:val="20"/>
                <w:szCs w:val="20"/>
              </w:rPr>
            </w:pPr>
            <w:r w:rsidRPr="008C335B">
              <w:rPr>
                <w:b/>
                <w:sz w:val="20"/>
                <w:szCs w:val="20"/>
              </w:rPr>
              <w:t xml:space="preserve">El Paso </w:t>
            </w:r>
            <w:proofErr w:type="spellStart"/>
            <w:r w:rsidRPr="008C335B">
              <w:rPr>
                <w:b/>
                <w:sz w:val="20"/>
                <w:szCs w:val="20"/>
              </w:rPr>
              <w:t>MPO’s</w:t>
            </w:r>
            <w:proofErr w:type="spellEnd"/>
            <w:r w:rsidRPr="008C335B">
              <w:rPr>
                <w:b/>
                <w:sz w:val="20"/>
                <w:szCs w:val="20"/>
              </w:rPr>
              <w:t xml:space="preserve"> </w:t>
            </w:r>
            <w:proofErr w:type="spellStart"/>
            <w:r w:rsidRPr="008C335B">
              <w:rPr>
                <w:b/>
                <w:sz w:val="20"/>
                <w:szCs w:val="20"/>
              </w:rPr>
              <w:t>System</w:t>
            </w:r>
            <w:proofErr w:type="spellEnd"/>
            <w:r w:rsidRPr="008C335B">
              <w:rPr>
                <w:b/>
                <w:sz w:val="20"/>
                <w:szCs w:val="20"/>
              </w:rPr>
              <w:t xml:space="preserve"> </w:t>
            </w:r>
            <w:proofErr w:type="spellStart"/>
            <w:r w:rsidRPr="008C335B">
              <w:rPr>
                <w:b/>
                <w:sz w:val="20"/>
                <w:szCs w:val="20"/>
              </w:rPr>
              <w:t>Planning</w:t>
            </w:r>
            <w:proofErr w:type="spellEnd"/>
            <w:r w:rsidRPr="008C335B">
              <w:rPr>
                <w:b/>
                <w:sz w:val="20"/>
                <w:szCs w:val="20"/>
              </w:rPr>
              <w:t xml:space="preserve"> Block</w:t>
            </w:r>
            <w:r>
              <w:rPr>
                <w:b/>
                <w:sz w:val="20"/>
                <w:szCs w:val="20"/>
              </w:rPr>
              <w:t xml:space="preserve"> </w:t>
            </w:r>
            <w:proofErr w:type="spellStart"/>
            <w:r>
              <w:rPr>
                <w:b/>
                <w:sz w:val="20"/>
                <w:szCs w:val="20"/>
              </w:rPr>
              <w:t>Scale</w:t>
            </w:r>
            <w:proofErr w:type="spellEnd"/>
          </w:p>
        </w:tc>
        <w:tc>
          <w:tcPr>
            <w:tcW w:w="5490" w:type="dxa"/>
            <w:shd w:val="clear" w:color="auto" w:fill="D9D9D9" w:themeFill="background1" w:themeFillShade="D9"/>
            <w:vAlign w:val="center"/>
          </w:tcPr>
          <w:p w:rsidR="00F34A85" w:rsidRPr="008C335B" w:rsidRDefault="00F34A85" w:rsidP="005534F4">
            <w:pPr>
              <w:jc w:val="center"/>
              <w:rPr>
                <w:b/>
                <w:sz w:val="20"/>
                <w:szCs w:val="20"/>
              </w:rPr>
            </w:pPr>
            <w:r w:rsidRPr="008C335B">
              <w:rPr>
                <w:b/>
                <w:sz w:val="20"/>
                <w:szCs w:val="20"/>
              </w:rPr>
              <w:t xml:space="preserve">El Paso </w:t>
            </w:r>
            <w:proofErr w:type="spellStart"/>
            <w:r w:rsidRPr="008C335B">
              <w:rPr>
                <w:b/>
                <w:sz w:val="20"/>
                <w:szCs w:val="20"/>
              </w:rPr>
              <w:t>MPO’s</w:t>
            </w:r>
            <w:proofErr w:type="spellEnd"/>
            <w:r w:rsidRPr="008C335B">
              <w:rPr>
                <w:b/>
                <w:sz w:val="20"/>
                <w:szCs w:val="20"/>
              </w:rPr>
              <w:t xml:space="preserve"> </w:t>
            </w:r>
            <w:proofErr w:type="spellStart"/>
            <w:r w:rsidRPr="008C335B">
              <w:rPr>
                <w:b/>
                <w:sz w:val="20"/>
                <w:szCs w:val="20"/>
              </w:rPr>
              <w:t>System</w:t>
            </w:r>
            <w:proofErr w:type="spellEnd"/>
            <w:r w:rsidRPr="008C335B">
              <w:rPr>
                <w:b/>
                <w:sz w:val="20"/>
                <w:szCs w:val="20"/>
              </w:rPr>
              <w:t xml:space="preserve"> </w:t>
            </w:r>
            <w:proofErr w:type="spellStart"/>
            <w:r w:rsidRPr="008C335B">
              <w:rPr>
                <w:b/>
                <w:sz w:val="20"/>
                <w:szCs w:val="20"/>
              </w:rPr>
              <w:t>Planning</w:t>
            </w:r>
            <w:proofErr w:type="spellEnd"/>
            <w:r w:rsidRPr="008C335B">
              <w:rPr>
                <w:b/>
                <w:sz w:val="20"/>
                <w:szCs w:val="20"/>
              </w:rPr>
              <w:t xml:space="preserve"> Block </w:t>
            </w:r>
            <w:proofErr w:type="spellStart"/>
            <w:r w:rsidRPr="008C335B">
              <w:rPr>
                <w:b/>
                <w:sz w:val="20"/>
                <w:szCs w:val="20"/>
              </w:rPr>
              <w:t>Objective</w:t>
            </w:r>
            <w:r>
              <w:rPr>
                <w:b/>
                <w:sz w:val="20"/>
                <w:szCs w:val="20"/>
              </w:rPr>
              <w:t>s</w:t>
            </w:r>
            <w:proofErr w:type="spellEnd"/>
          </w:p>
        </w:tc>
        <w:tc>
          <w:tcPr>
            <w:tcW w:w="1795" w:type="dxa"/>
            <w:shd w:val="clear" w:color="auto" w:fill="D9D9D9" w:themeFill="background1" w:themeFillShade="D9"/>
            <w:vAlign w:val="center"/>
          </w:tcPr>
          <w:p w:rsidR="00F34A85" w:rsidRPr="008C335B" w:rsidRDefault="00F34A85" w:rsidP="005534F4">
            <w:pPr>
              <w:jc w:val="center"/>
              <w:rPr>
                <w:b/>
                <w:sz w:val="20"/>
                <w:szCs w:val="20"/>
              </w:rPr>
            </w:pPr>
            <w:proofErr w:type="spellStart"/>
            <w:r>
              <w:rPr>
                <w:b/>
                <w:sz w:val="20"/>
                <w:szCs w:val="20"/>
              </w:rPr>
              <w:t>Selected</w:t>
            </w:r>
            <w:proofErr w:type="spellEnd"/>
            <w:r>
              <w:rPr>
                <w:b/>
                <w:sz w:val="20"/>
                <w:szCs w:val="20"/>
              </w:rPr>
              <w:t xml:space="preserve"> Performance </w:t>
            </w:r>
            <w:proofErr w:type="spellStart"/>
            <w:r>
              <w:rPr>
                <w:b/>
                <w:sz w:val="20"/>
                <w:szCs w:val="20"/>
              </w:rPr>
              <w:t>M</w:t>
            </w:r>
            <w:r w:rsidRPr="008C335B">
              <w:rPr>
                <w:b/>
                <w:sz w:val="20"/>
                <w:szCs w:val="20"/>
              </w:rPr>
              <w:t>easures</w:t>
            </w:r>
            <w:proofErr w:type="spellEnd"/>
          </w:p>
        </w:tc>
      </w:tr>
      <w:tr w:rsidR="00F34A85" w:rsidRPr="008C335B" w:rsidTr="005534F4">
        <w:trPr>
          <w:jc w:val="center"/>
        </w:trPr>
        <w:tc>
          <w:tcPr>
            <w:tcW w:w="2065" w:type="dxa"/>
            <w:vMerge w:val="restart"/>
          </w:tcPr>
          <w:p w:rsidR="00F34A85" w:rsidRPr="008C335B" w:rsidRDefault="00F34A85" w:rsidP="005534F4">
            <w:pPr>
              <w:rPr>
                <w:sz w:val="20"/>
                <w:szCs w:val="20"/>
              </w:rPr>
            </w:pPr>
            <w:r>
              <w:rPr>
                <w:sz w:val="20"/>
                <w:szCs w:val="20"/>
              </w:rPr>
              <w:t xml:space="preserve">A. </w:t>
            </w:r>
            <w:proofErr w:type="spellStart"/>
            <w:r>
              <w:rPr>
                <w:sz w:val="20"/>
                <w:szCs w:val="20"/>
              </w:rPr>
              <w:t>Within</w:t>
            </w:r>
            <w:proofErr w:type="spellEnd"/>
            <w:r>
              <w:rPr>
                <w:sz w:val="20"/>
                <w:szCs w:val="20"/>
              </w:rPr>
              <w:t xml:space="preserve"> </w:t>
            </w:r>
            <w:proofErr w:type="spellStart"/>
            <w:r>
              <w:rPr>
                <w:sz w:val="20"/>
                <w:szCs w:val="20"/>
              </w:rPr>
              <w:t>C</w:t>
            </w:r>
            <w:r w:rsidRPr="008C335B">
              <w:rPr>
                <w:sz w:val="20"/>
                <w:szCs w:val="20"/>
              </w:rPr>
              <w:t>ommunity</w:t>
            </w:r>
            <w:proofErr w:type="spellEnd"/>
          </w:p>
        </w:tc>
        <w:tc>
          <w:tcPr>
            <w:tcW w:w="5490" w:type="dxa"/>
          </w:tcPr>
          <w:p w:rsidR="00F34A85" w:rsidRPr="008C335B" w:rsidRDefault="00F34A85" w:rsidP="005534F4">
            <w:pPr>
              <w:rPr>
                <w:sz w:val="20"/>
                <w:szCs w:val="20"/>
              </w:rPr>
            </w:pPr>
            <w:r>
              <w:rPr>
                <w:rFonts w:cs="Times New Roman"/>
                <w:sz w:val="20"/>
                <w:szCs w:val="20"/>
              </w:rPr>
              <w:t>A.</w:t>
            </w:r>
            <w:r w:rsidRPr="008C335B">
              <w:rPr>
                <w:rFonts w:cs="Times New Roman"/>
                <w:sz w:val="20"/>
                <w:szCs w:val="20"/>
              </w:rPr>
              <w:t xml:space="preserve">1. </w:t>
            </w:r>
            <w:proofErr w:type="spellStart"/>
            <w:r w:rsidRPr="008C335B">
              <w:rPr>
                <w:rFonts w:cs="Times New Roman"/>
                <w:sz w:val="20"/>
                <w:szCs w:val="20"/>
              </w:rPr>
              <w:t>Encourage</w:t>
            </w:r>
            <w:proofErr w:type="spellEnd"/>
            <w:r w:rsidRPr="008C335B">
              <w:rPr>
                <w:rFonts w:cs="Times New Roman"/>
                <w:sz w:val="20"/>
                <w:szCs w:val="20"/>
              </w:rPr>
              <w:t xml:space="preserve"> multimodal </w:t>
            </w:r>
            <w:proofErr w:type="spellStart"/>
            <w:r w:rsidRPr="008C335B">
              <w:rPr>
                <w:rFonts w:cs="Times New Roman"/>
                <w:sz w:val="20"/>
                <w:szCs w:val="20"/>
              </w:rPr>
              <w:t>corridors</w:t>
            </w:r>
            <w:proofErr w:type="spellEnd"/>
          </w:p>
        </w:tc>
        <w:tc>
          <w:tcPr>
            <w:tcW w:w="1795" w:type="dxa"/>
          </w:tcPr>
          <w:p w:rsidR="00F34A85" w:rsidRPr="008C335B" w:rsidRDefault="00F34A85" w:rsidP="005534F4">
            <w:pPr>
              <w:rPr>
                <w:sz w:val="20"/>
                <w:szCs w:val="20"/>
              </w:rPr>
            </w:pPr>
            <w:r w:rsidRPr="008C335B">
              <w:rPr>
                <w:sz w:val="20"/>
                <w:szCs w:val="20"/>
              </w:rPr>
              <w:t>A.1.1, A.1.2, A.1.3</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rPr>
                <w:rFonts w:cs="Times New Roman"/>
                <w:sz w:val="20"/>
                <w:szCs w:val="20"/>
              </w:rPr>
            </w:pPr>
            <w:r>
              <w:rPr>
                <w:rFonts w:cs="Times New Roman"/>
                <w:sz w:val="20"/>
                <w:szCs w:val="20"/>
              </w:rPr>
              <w:t>A.</w:t>
            </w:r>
            <w:r w:rsidRPr="008C335B">
              <w:rPr>
                <w:rFonts w:cs="Times New Roman"/>
                <w:sz w:val="20"/>
                <w:szCs w:val="20"/>
              </w:rPr>
              <w:t xml:space="preserve">2. </w:t>
            </w:r>
            <w:proofErr w:type="spellStart"/>
            <w:r w:rsidRPr="008C335B">
              <w:rPr>
                <w:rFonts w:cs="Times New Roman"/>
                <w:sz w:val="20"/>
                <w:szCs w:val="20"/>
              </w:rPr>
              <w:t>Prioritize</w:t>
            </w:r>
            <w:proofErr w:type="spellEnd"/>
            <w:r w:rsidRPr="008C335B">
              <w:rPr>
                <w:rFonts w:cs="Times New Roman"/>
                <w:sz w:val="20"/>
                <w:szCs w:val="20"/>
              </w:rPr>
              <w:t xml:space="preserve"> </w:t>
            </w:r>
            <w:proofErr w:type="spellStart"/>
            <w:r w:rsidRPr="008C335B">
              <w:rPr>
                <w:rFonts w:cs="Times New Roman"/>
                <w:sz w:val="20"/>
                <w:szCs w:val="20"/>
              </w:rPr>
              <w:t>investment</w:t>
            </w:r>
            <w:proofErr w:type="spellEnd"/>
            <w:r w:rsidRPr="008C335B">
              <w:rPr>
                <w:rFonts w:cs="Times New Roman"/>
                <w:sz w:val="20"/>
                <w:szCs w:val="20"/>
              </w:rPr>
              <w:t xml:space="preserve"> </w:t>
            </w:r>
            <w:proofErr w:type="spellStart"/>
            <w:r w:rsidRPr="008C335B">
              <w:rPr>
                <w:rFonts w:cs="Times New Roman"/>
                <w:sz w:val="20"/>
                <w:szCs w:val="20"/>
              </w:rPr>
              <w:t>that</w:t>
            </w:r>
            <w:proofErr w:type="spellEnd"/>
            <w:r w:rsidRPr="008C335B">
              <w:rPr>
                <w:rFonts w:cs="Times New Roman"/>
                <w:sz w:val="20"/>
                <w:szCs w:val="20"/>
              </w:rPr>
              <w:t xml:space="preserve"> </w:t>
            </w:r>
            <w:proofErr w:type="spellStart"/>
            <w:r w:rsidRPr="008C335B">
              <w:rPr>
                <w:rFonts w:cs="Times New Roman"/>
                <w:sz w:val="20"/>
                <w:szCs w:val="20"/>
              </w:rPr>
              <w:t>improves</w:t>
            </w:r>
            <w:proofErr w:type="spellEnd"/>
            <w:r w:rsidRPr="008C335B">
              <w:rPr>
                <w:rFonts w:cs="Times New Roman"/>
                <w:sz w:val="20"/>
                <w:szCs w:val="20"/>
              </w:rPr>
              <w:t xml:space="preserve"> multimodal </w:t>
            </w:r>
            <w:proofErr w:type="spellStart"/>
            <w:r w:rsidRPr="008C335B">
              <w:rPr>
                <w:rFonts w:cs="Times New Roman"/>
                <w:sz w:val="20"/>
                <w:szCs w:val="20"/>
              </w:rPr>
              <w:t>access</w:t>
            </w:r>
            <w:proofErr w:type="spellEnd"/>
            <w:r w:rsidRPr="008C335B">
              <w:rPr>
                <w:rFonts w:cs="Times New Roman"/>
                <w:sz w:val="20"/>
                <w:szCs w:val="20"/>
              </w:rPr>
              <w:t xml:space="preserve"> to </w:t>
            </w:r>
            <w:proofErr w:type="spellStart"/>
            <w:r w:rsidRPr="008C335B">
              <w:rPr>
                <w:rFonts w:cs="Times New Roman"/>
                <w:sz w:val="20"/>
                <w:szCs w:val="20"/>
              </w:rPr>
              <w:t>existing</w:t>
            </w:r>
            <w:proofErr w:type="spellEnd"/>
            <w:r w:rsidRPr="008C335B">
              <w:rPr>
                <w:rFonts w:cs="Times New Roman"/>
                <w:sz w:val="20"/>
                <w:szCs w:val="20"/>
              </w:rPr>
              <w:t xml:space="preserve"> </w:t>
            </w:r>
            <w:proofErr w:type="spellStart"/>
            <w:r w:rsidRPr="008C335B">
              <w:rPr>
                <w:rFonts w:cs="Times New Roman"/>
                <w:sz w:val="20"/>
                <w:szCs w:val="20"/>
              </w:rPr>
              <w:t>or</w:t>
            </w:r>
            <w:proofErr w:type="spellEnd"/>
            <w:r w:rsidRPr="008C335B">
              <w:rPr>
                <w:rFonts w:cs="Times New Roman"/>
                <w:sz w:val="20"/>
                <w:szCs w:val="20"/>
              </w:rPr>
              <w:t xml:space="preserve"> </w:t>
            </w:r>
            <w:proofErr w:type="spellStart"/>
            <w:r w:rsidRPr="008C335B">
              <w:rPr>
                <w:rFonts w:cs="Times New Roman"/>
                <w:sz w:val="20"/>
                <w:szCs w:val="20"/>
              </w:rPr>
              <w:t>planned</w:t>
            </w:r>
            <w:proofErr w:type="spellEnd"/>
            <w:r w:rsidRPr="008C335B">
              <w:rPr>
                <w:rFonts w:cs="Times New Roman"/>
                <w:sz w:val="20"/>
                <w:szCs w:val="20"/>
              </w:rPr>
              <w:t xml:space="preserve"> </w:t>
            </w:r>
            <w:proofErr w:type="spellStart"/>
            <w:r w:rsidRPr="008C335B">
              <w:rPr>
                <w:rFonts w:cs="Times New Roman"/>
                <w:sz w:val="20"/>
                <w:szCs w:val="20"/>
              </w:rPr>
              <w:t>transit</w:t>
            </w:r>
            <w:proofErr w:type="spellEnd"/>
            <w:r w:rsidRPr="008C335B">
              <w:rPr>
                <w:rFonts w:cs="Times New Roman"/>
                <w:sz w:val="20"/>
                <w:szCs w:val="20"/>
              </w:rPr>
              <w:t xml:space="preserve"> </w:t>
            </w:r>
            <w:proofErr w:type="spellStart"/>
            <w:r w:rsidRPr="008C335B">
              <w:rPr>
                <w:rFonts w:cs="Times New Roman"/>
                <w:sz w:val="20"/>
                <w:szCs w:val="20"/>
              </w:rPr>
              <w:t>hubs</w:t>
            </w:r>
            <w:proofErr w:type="spellEnd"/>
            <w:r w:rsidRPr="008C335B">
              <w:rPr>
                <w:rFonts w:cs="Times New Roman"/>
                <w:sz w:val="20"/>
                <w:szCs w:val="20"/>
              </w:rPr>
              <w:t xml:space="preserve"> and </w:t>
            </w:r>
            <w:proofErr w:type="spellStart"/>
            <w:r w:rsidRPr="008C335B">
              <w:rPr>
                <w:rFonts w:cs="Times New Roman"/>
                <w:sz w:val="20"/>
                <w:szCs w:val="20"/>
              </w:rPr>
              <w:t>that</w:t>
            </w:r>
            <w:proofErr w:type="spellEnd"/>
            <w:r w:rsidRPr="008C335B">
              <w:rPr>
                <w:rFonts w:cs="Times New Roman"/>
                <w:sz w:val="20"/>
                <w:szCs w:val="20"/>
              </w:rPr>
              <w:t xml:space="preserve"> </w:t>
            </w:r>
            <w:proofErr w:type="spellStart"/>
            <w:r w:rsidRPr="008C335B">
              <w:rPr>
                <w:rFonts w:cs="Times New Roman"/>
                <w:sz w:val="20"/>
                <w:szCs w:val="20"/>
              </w:rPr>
              <w:t>fills</w:t>
            </w:r>
            <w:proofErr w:type="spellEnd"/>
            <w:r w:rsidRPr="008C335B">
              <w:rPr>
                <w:rFonts w:cs="Times New Roman"/>
                <w:sz w:val="20"/>
                <w:szCs w:val="20"/>
              </w:rPr>
              <w:t xml:space="preserve"> gaps in </w:t>
            </w:r>
            <w:proofErr w:type="spellStart"/>
            <w:r w:rsidRPr="008C335B">
              <w:rPr>
                <w:rFonts w:cs="Times New Roman"/>
                <w:sz w:val="20"/>
                <w:szCs w:val="20"/>
              </w:rPr>
              <w:t>existing</w:t>
            </w:r>
            <w:proofErr w:type="spellEnd"/>
            <w:r w:rsidRPr="008C335B">
              <w:rPr>
                <w:rFonts w:cs="Times New Roman"/>
                <w:sz w:val="20"/>
                <w:szCs w:val="20"/>
              </w:rPr>
              <w:t xml:space="preserve"> multimodal </w:t>
            </w:r>
            <w:proofErr w:type="spellStart"/>
            <w:r w:rsidRPr="008C335B">
              <w:rPr>
                <w:rFonts w:cs="Times New Roman"/>
                <w:sz w:val="20"/>
                <w:szCs w:val="20"/>
              </w:rPr>
              <w:t>system</w:t>
            </w:r>
            <w:proofErr w:type="spellEnd"/>
          </w:p>
        </w:tc>
        <w:tc>
          <w:tcPr>
            <w:tcW w:w="1795" w:type="dxa"/>
          </w:tcPr>
          <w:p w:rsidR="00F34A85" w:rsidRPr="008C335B" w:rsidRDefault="00F34A85" w:rsidP="005534F4">
            <w:pPr>
              <w:rPr>
                <w:sz w:val="20"/>
                <w:szCs w:val="20"/>
              </w:rPr>
            </w:pPr>
            <w:r w:rsidRPr="008C335B">
              <w:rPr>
                <w:sz w:val="20"/>
                <w:szCs w:val="20"/>
              </w:rPr>
              <w:t>A.2.1, A.2.2, A.2.3, A.2.4</w:t>
            </w:r>
          </w:p>
        </w:tc>
      </w:tr>
      <w:tr w:rsidR="00F34A85" w:rsidRPr="008C335B" w:rsidTr="005534F4">
        <w:trPr>
          <w:jc w:val="center"/>
        </w:trPr>
        <w:tc>
          <w:tcPr>
            <w:tcW w:w="2065" w:type="dxa"/>
            <w:vMerge w:val="restart"/>
          </w:tcPr>
          <w:p w:rsidR="00F34A85" w:rsidRPr="008C335B" w:rsidRDefault="00F34A85" w:rsidP="005534F4">
            <w:pPr>
              <w:rPr>
                <w:sz w:val="20"/>
                <w:szCs w:val="20"/>
              </w:rPr>
            </w:pPr>
            <w:r>
              <w:rPr>
                <w:sz w:val="20"/>
                <w:szCs w:val="20"/>
              </w:rPr>
              <w:t xml:space="preserve">B. </w:t>
            </w:r>
            <w:proofErr w:type="spellStart"/>
            <w:r>
              <w:rPr>
                <w:sz w:val="20"/>
                <w:szCs w:val="20"/>
              </w:rPr>
              <w:t>Community</w:t>
            </w:r>
            <w:proofErr w:type="spellEnd"/>
            <w:r>
              <w:rPr>
                <w:sz w:val="20"/>
                <w:szCs w:val="20"/>
              </w:rPr>
              <w:t xml:space="preserve"> to </w:t>
            </w:r>
            <w:proofErr w:type="spellStart"/>
            <w:r>
              <w:rPr>
                <w:sz w:val="20"/>
                <w:szCs w:val="20"/>
              </w:rPr>
              <w:t>C</w:t>
            </w:r>
            <w:r w:rsidRPr="008C335B">
              <w:rPr>
                <w:sz w:val="20"/>
                <w:szCs w:val="20"/>
              </w:rPr>
              <w:t>ommunity</w:t>
            </w:r>
            <w:proofErr w:type="spellEnd"/>
          </w:p>
        </w:tc>
        <w:tc>
          <w:tcPr>
            <w:tcW w:w="5490" w:type="dxa"/>
          </w:tcPr>
          <w:p w:rsidR="00F34A85" w:rsidRPr="008C335B" w:rsidRDefault="00F34A85" w:rsidP="005534F4">
            <w:pPr>
              <w:rPr>
                <w:sz w:val="20"/>
                <w:szCs w:val="20"/>
              </w:rPr>
            </w:pPr>
            <w:r>
              <w:rPr>
                <w:rFonts w:cs="Times New Roman"/>
                <w:sz w:val="20"/>
                <w:szCs w:val="20"/>
              </w:rPr>
              <w:t>B.</w:t>
            </w:r>
            <w:r w:rsidRPr="008C335B">
              <w:rPr>
                <w:rFonts w:cs="Times New Roman"/>
                <w:sz w:val="20"/>
                <w:szCs w:val="20"/>
              </w:rPr>
              <w:t xml:space="preserve">1. </w:t>
            </w:r>
            <w:proofErr w:type="spellStart"/>
            <w:r w:rsidRPr="008C335B">
              <w:rPr>
                <w:rFonts w:cs="Times New Roman"/>
                <w:sz w:val="20"/>
                <w:szCs w:val="20"/>
              </w:rPr>
              <w:t>Increase</w:t>
            </w:r>
            <w:proofErr w:type="spellEnd"/>
            <w:r w:rsidRPr="008C335B">
              <w:rPr>
                <w:rFonts w:cs="Times New Roman"/>
                <w:sz w:val="20"/>
                <w:szCs w:val="20"/>
              </w:rPr>
              <w:t xml:space="preserve"> multimodal </w:t>
            </w:r>
            <w:proofErr w:type="spellStart"/>
            <w:r w:rsidRPr="008C335B">
              <w:rPr>
                <w:rFonts w:cs="Times New Roman"/>
                <w:sz w:val="20"/>
                <w:szCs w:val="20"/>
              </w:rPr>
              <w:t>connectivity</w:t>
            </w:r>
            <w:proofErr w:type="spellEnd"/>
            <w:r w:rsidRPr="008C335B">
              <w:rPr>
                <w:rFonts w:cs="Times New Roman"/>
                <w:sz w:val="20"/>
                <w:szCs w:val="20"/>
              </w:rPr>
              <w:t xml:space="preserve"> </w:t>
            </w:r>
            <w:proofErr w:type="spellStart"/>
            <w:r w:rsidRPr="008C335B">
              <w:rPr>
                <w:rFonts w:cs="Times New Roman"/>
                <w:sz w:val="20"/>
                <w:szCs w:val="20"/>
              </w:rPr>
              <w:t>between</w:t>
            </w:r>
            <w:proofErr w:type="spellEnd"/>
            <w:r w:rsidRPr="008C335B">
              <w:rPr>
                <w:rFonts w:cs="Times New Roman"/>
                <w:sz w:val="20"/>
                <w:szCs w:val="20"/>
              </w:rPr>
              <w:t xml:space="preserve"> </w:t>
            </w:r>
            <w:proofErr w:type="spellStart"/>
            <w:r w:rsidRPr="008C335B">
              <w:rPr>
                <w:rFonts w:cs="Times New Roman"/>
                <w:sz w:val="20"/>
                <w:szCs w:val="20"/>
              </w:rPr>
              <w:t>employment</w:t>
            </w:r>
            <w:proofErr w:type="spellEnd"/>
            <w:r w:rsidRPr="008C335B">
              <w:rPr>
                <w:rFonts w:cs="Times New Roman"/>
                <w:sz w:val="20"/>
                <w:szCs w:val="20"/>
              </w:rPr>
              <w:t xml:space="preserve"> </w:t>
            </w:r>
            <w:proofErr w:type="spellStart"/>
            <w:r w:rsidRPr="008C335B">
              <w:rPr>
                <w:rFonts w:cs="Times New Roman"/>
                <w:sz w:val="20"/>
                <w:szCs w:val="20"/>
              </w:rPr>
              <w:t>residential</w:t>
            </w:r>
            <w:proofErr w:type="spellEnd"/>
            <w:r w:rsidRPr="008C335B">
              <w:rPr>
                <w:rFonts w:cs="Times New Roman"/>
                <w:sz w:val="20"/>
                <w:szCs w:val="20"/>
              </w:rPr>
              <w:t xml:space="preserve"> </w:t>
            </w:r>
            <w:proofErr w:type="spellStart"/>
            <w:r w:rsidRPr="008C335B">
              <w:rPr>
                <w:rFonts w:cs="Times New Roman"/>
                <w:sz w:val="20"/>
                <w:szCs w:val="20"/>
              </w:rPr>
              <w:t>neighborhoods</w:t>
            </w:r>
            <w:proofErr w:type="spellEnd"/>
            <w:r w:rsidRPr="008C335B">
              <w:rPr>
                <w:rFonts w:cs="Times New Roman"/>
                <w:sz w:val="20"/>
                <w:szCs w:val="20"/>
              </w:rPr>
              <w:t xml:space="preserve">, </w:t>
            </w:r>
            <w:proofErr w:type="spellStart"/>
            <w:r w:rsidRPr="008C335B">
              <w:rPr>
                <w:rFonts w:cs="Times New Roman"/>
                <w:sz w:val="20"/>
                <w:szCs w:val="20"/>
              </w:rPr>
              <w:t>parks</w:t>
            </w:r>
            <w:proofErr w:type="spellEnd"/>
            <w:r w:rsidRPr="008C335B">
              <w:rPr>
                <w:rFonts w:cs="Times New Roman"/>
                <w:sz w:val="20"/>
                <w:szCs w:val="20"/>
              </w:rPr>
              <w:t xml:space="preserve"> and </w:t>
            </w:r>
            <w:proofErr w:type="spellStart"/>
            <w:r w:rsidRPr="008C335B">
              <w:rPr>
                <w:rFonts w:cs="Times New Roman"/>
                <w:sz w:val="20"/>
                <w:szCs w:val="20"/>
              </w:rPr>
              <w:t>recreation</w:t>
            </w:r>
            <w:proofErr w:type="spellEnd"/>
            <w:r w:rsidRPr="008C335B">
              <w:rPr>
                <w:rFonts w:cs="Times New Roman"/>
                <w:sz w:val="20"/>
                <w:szCs w:val="20"/>
              </w:rPr>
              <w:t xml:space="preserve">, </w:t>
            </w:r>
            <w:proofErr w:type="spellStart"/>
            <w:r w:rsidRPr="008C335B">
              <w:rPr>
                <w:rFonts w:cs="Times New Roman"/>
                <w:sz w:val="20"/>
                <w:szCs w:val="20"/>
              </w:rPr>
              <w:t>facilities</w:t>
            </w:r>
            <w:proofErr w:type="spellEnd"/>
            <w:r w:rsidRPr="008C335B">
              <w:rPr>
                <w:rFonts w:cs="Times New Roman"/>
                <w:sz w:val="20"/>
                <w:szCs w:val="20"/>
              </w:rPr>
              <w:t xml:space="preserve">, medical </w:t>
            </w:r>
            <w:proofErr w:type="spellStart"/>
            <w:r w:rsidRPr="008C335B">
              <w:rPr>
                <w:rFonts w:cs="Times New Roman"/>
                <w:sz w:val="20"/>
                <w:szCs w:val="20"/>
              </w:rPr>
              <w:t>facilities</w:t>
            </w:r>
            <w:proofErr w:type="spellEnd"/>
            <w:r w:rsidRPr="008C335B">
              <w:rPr>
                <w:rFonts w:cs="Times New Roman"/>
                <w:sz w:val="20"/>
                <w:szCs w:val="20"/>
              </w:rPr>
              <w:t xml:space="preserve">, shopping </w:t>
            </w:r>
            <w:proofErr w:type="spellStart"/>
            <w:r w:rsidRPr="008C335B">
              <w:rPr>
                <w:rFonts w:cs="Times New Roman"/>
                <w:sz w:val="20"/>
                <w:szCs w:val="20"/>
              </w:rPr>
              <w:t>areas</w:t>
            </w:r>
            <w:proofErr w:type="spellEnd"/>
            <w:r w:rsidRPr="008C335B">
              <w:rPr>
                <w:rFonts w:cs="Times New Roman"/>
                <w:sz w:val="20"/>
                <w:szCs w:val="20"/>
              </w:rPr>
              <w:t xml:space="preserve">, </w:t>
            </w:r>
            <w:proofErr w:type="spellStart"/>
            <w:r w:rsidRPr="008C335B">
              <w:rPr>
                <w:rFonts w:cs="Times New Roman"/>
                <w:sz w:val="20"/>
                <w:szCs w:val="20"/>
              </w:rPr>
              <w:t>public</w:t>
            </w:r>
            <w:proofErr w:type="spellEnd"/>
            <w:r w:rsidRPr="008C335B">
              <w:rPr>
                <w:rFonts w:cs="Times New Roman"/>
                <w:sz w:val="20"/>
                <w:szCs w:val="20"/>
              </w:rPr>
              <w:t xml:space="preserve"> </w:t>
            </w:r>
            <w:proofErr w:type="spellStart"/>
            <w:r w:rsidRPr="008C335B">
              <w:rPr>
                <w:rFonts w:cs="Times New Roman"/>
                <w:sz w:val="20"/>
                <w:szCs w:val="20"/>
              </w:rPr>
              <w:t>services</w:t>
            </w:r>
            <w:proofErr w:type="spellEnd"/>
            <w:r w:rsidRPr="008C335B">
              <w:rPr>
                <w:rFonts w:cs="Times New Roman"/>
                <w:sz w:val="20"/>
                <w:szCs w:val="20"/>
              </w:rPr>
              <w:t xml:space="preserve">, and </w:t>
            </w:r>
            <w:proofErr w:type="spellStart"/>
            <w:r w:rsidRPr="008C335B">
              <w:rPr>
                <w:rFonts w:cs="Times New Roman"/>
                <w:sz w:val="20"/>
                <w:szCs w:val="20"/>
              </w:rPr>
              <w:t>schools</w:t>
            </w:r>
            <w:proofErr w:type="spellEnd"/>
          </w:p>
        </w:tc>
        <w:tc>
          <w:tcPr>
            <w:tcW w:w="1795" w:type="dxa"/>
          </w:tcPr>
          <w:p w:rsidR="00F34A85" w:rsidRPr="008C335B" w:rsidRDefault="00F34A85" w:rsidP="005534F4">
            <w:pPr>
              <w:rPr>
                <w:sz w:val="20"/>
                <w:szCs w:val="20"/>
              </w:rPr>
            </w:pPr>
            <w:r w:rsidRPr="008C335B">
              <w:rPr>
                <w:sz w:val="20"/>
                <w:szCs w:val="20"/>
              </w:rPr>
              <w:t>B.1.1, B.1.2, B.1.3, B.1.4</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rPr>
                <w:rFonts w:cs="Times New Roman"/>
                <w:sz w:val="20"/>
                <w:szCs w:val="20"/>
              </w:rPr>
            </w:pPr>
            <w:r>
              <w:rPr>
                <w:rFonts w:cs="Times New Roman"/>
                <w:sz w:val="20"/>
                <w:szCs w:val="20"/>
              </w:rPr>
              <w:t>B.</w:t>
            </w:r>
            <w:r w:rsidRPr="008C335B">
              <w:rPr>
                <w:rFonts w:cs="Times New Roman"/>
                <w:sz w:val="20"/>
                <w:szCs w:val="20"/>
              </w:rPr>
              <w:t xml:space="preserve">2. </w:t>
            </w:r>
            <w:proofErr w:type="spellStart"/>
            <w:r w:rsidRPr="008C335B">
              <w:rPr>
                <w:rFonts w:cs="Times New Roman"/>
                <w:sz w:val="20"/>
                <w:szCs w:val="20"/>
              </w:rPr>
              <w:t>Improve</w:t>
            </w:r>
            <w:proofErr w:type="spellEnd"/>
            <w:r w:rsidRPr="008C335B">
              <w:rPr>
                <w:rFonts w:cs="Times New Roman"/>
                <w:sz w:val="20"/>
                <w:szCs w:val="20"/>
              </w:rPr>
              <w:t xml:space="preserve"> </w:t>
            </w:r>
            <w:proofErr w:type="spellStart"/>
            <w:r w:rsidRPr="008C335B">
              <w:rPr>
                <w:rFonts w:cs="Times New Roman"/>
                <w:sz w:val="20"/>
                <w:szCs w:val="20"/>
              </w:rPr>
              <w:t>the</w:t>
            </w:r>
            <w:proofErr w:type="spellEnd"/>
            <w:r w:rsidRPr="008C335B">
              <w:rPr>
                <w:rFonts w:cs="Times New Roman"/>
                <w:sz w:val="20"/>
                <w:szCs w:val="20"/>
              </w:rPr>
              <w:t xml:space="preserve"> safety, </w:t>
            </w:r>
            <w:proofErr w:type="spellStart"/>
            <w:r w:rsidRPr="008C335B">
              <w:rPr>
                <w:rFonts w:cs="Times New Roman"/>
                <w:sz w:val="20"/>
                <w:szCs w:val="20"/>
              </w:rPr>
              <w:t>security</w:t>
            </w:r>
            <w:proofErr w:type="spellEnd"/>
            <w:r w:rsidRPr="008C335B">
              <w:rPr>
                <w:rFonts w:cs="Times New Roman"/>
                <w:sz w:val="20"/>
                <w:szCs w:val="20"/>
              </w:rPr>
              <w:t xml:space="preserve"> and </w:t>
            </w:r>
            <w:proofErr w:type="spellStart"/>
            <w:r w:rsidRPr="008C335B">
              <w:rPr>
                <w:rFonts w:cs="Times New Roman"/>
                <w:sz w:val="20"/>
                <w:szCs w:val="20"/>
              </w:rPr>
              <w:t>mobility</w:t>
            </w:r>
            <w:proofErr w:type="spellEnd"/>
            <w:r w:rsidRPr="008C335B">
              <w:rPr>
                <w:rFonts w:cs="Times New Roman"/>
                <w:sz w:val="20"/>
                <w:szCs w:val="20"/>
              </w:rPr>
              <w:t xml:space="preserve"> </w:t>
            </w:r>
            <w:proofErr w:type="spellStart"/>
            <w:r w:rsidRPr="008C335B">
              <w:rPr>
                <w:rFonts w:cs="Times New Roman"/>
                <w:sz w:val="20"/>
                <w:szCs w:val="20"/>
              </w:rPr>
              <w:t>on</w:t>
            </w:r>
            <w:proofErr w:type="spellEnd"/>
            <w:r w:rsidRPr="008C335B">
              <w:rPr>
                <w:rFonts w:cs="Times New Roman"/>
                <w:sz w:val="20"/>
                <w:szCs w:val="20"/>
              </w:rPr>
              <w:t xml:space="preserve"> </w:t>
            </w:r>
            <w:proofErr w:type="spellStart"/>
            <w:r w:rsidRPr="008C335B">
              <w:rPr>
                <w:rFonts w:cs="Times New Roman"/>
                <w:sz w:val="20"/>
                <w:szCs w:val="20"/>
              </w:rPr>
              <w:t>corridors</w:t>
            </w:r>
            <w:proofErr w:type="spellEnd"/>
            <w:r w:rsidRPr="008C335B">
              <w:rPr>
                <w:rFonts w:cs="Times New Roman"/>
                <w:sz w:val="20"/>
                <w:szCs w:val="20"/>
              </w:rPr>
              <w:t xml:space="preserve">. </w:t>
            </w:r>
            <w:proofErr w:type="spellStart"/>
            <w:r w:rsidRPr="008C335B">
              <w:rPr>
                <w:rFonts w:cs="Times New Roman"/>
                <w:sz w:val="20"/>
                <w:szCs w:val="20"/>
              </w:rPr>
              <w:t>Better</w:t>
            </w:r>
            <w:proofErr w:type="spellEnd"/>
            <w:r w:rsidRPr="008C335B">
              <w:rPr>
                <w:rFonts w:cs="Times New Roman"/>
                <w:sz w:val="20"/>
                <w:szCs w:val="20"/>
              </w:rPr>
              <w:t xml:space="preserve"> </w:t>
            </w:r>
            <w:proofErr w:type="spellStart"/>
            <w:r w:rsidRPr="008C335B">
              <w:rPr>
                <w:rFonts w:cs="Times New Roman"/>
                <w:sz w:val="20"/>
                <w:szCs w:val="20"/>
              </w:rPr>
              <w:t>integrate</w:t>
            </w:r>
            <w:proofErr w:type="spellEnd"/>
            <w:r w:rsidRPr="008C335B">
              <w:rPr>
                <w:rFonts w:cs="Times New Roman"/>
                <w:sz w:val="20"/>
                <w:szCs w:val="20"/>
              </w:rPr>
              <w:t xml:space="preserve"> safety </w:t>
            </w:r>
            <w:proofErr w:type="spellStart"/>
            <w:r w:rsidRPr="008C335B">
              <w:rPr>
                <w:rFonts w:cs="Times New Roman"/>
                <w:sz w:val="20"/>
                <w:szCs w:val="20"/>
              </w:rPr>
              <w:t>improvements</w:t>
            </w:r>
            <w:proofErr w:type="spellEnd"/>
            <w:r w:rsidRPr="008C335B">
              <w:rPr>
                <w:rFonts w:cs="Times New Roman"/>
                <w:sz w:val="20"/>
                <w:szCs w:val="20"/>
              </w:rPr>
              <w:t xml:space="preserve"> </w:t>
            </w:r>
            <w:proofErr w:type="spellStart"/>
            <w:r w:rsidRPr="008C335B">
              <w:rPr>
                <w:rFonts w:cs="Times New Roman"/>
                <w:sz w:val="20"/>
                <w:szCs w:val="20"/>
              </w:rPr>
              <w:t>for</w:t>
            </w:r>
            <w:proofErr w:type="spellEnd"/>
            <w:r w:rsidRPr="008C335B">
              <w:rPr>
                <w:rFonts w:cs="Times New Roman"/>
                <w:sz w:val="20"/>
                <w:szCs w:val="20"/>
              </w:rPr>
              <w:t xml:space="preserve"> </w:t>
            </w:r>
            <w:proofErr w:type="spellStart"/>
            <w:r w:rsidRPr="008C335B">
              <w:rPr>
                <w:rFonts w:cs="Times New Roman"/>
                <w:sz w:val="20"/>
                <w:szCs w:val="20"/>
              </w:rPr>
              <w:t>bicycle</w:t>
            </w:r>
            <w:proofErr w:type="spellEnd"/>
            <w:r w:rsidRPr="008C335B">
              <w:rPr>
                <w:rFonts w:cs="Times New Roman"/>
                <w:sz w:val="20"/>
                <w:szCs w:val="20"/>
              </w:rPr>
              <w:t xml:space="preserve">, </w:t>
            </w:r>
            <w:proofErr w:type="spellStart"/>
            <w:r w:rsidRPr="008C335B">
              <w:rPr>
                <w:rFonts w:cs="Times New Roman"/>
                <w:sz w:val="20"/>
                <w:szCs w:val="20"/>
              </w:rPr>
              <w:t>pedestrian</w:t>
            </w:r>
            <w:proofErr w:type="spellEnd"/>
            <w:r w:rsidRPr="008C335B">
              <w:rPr>
                <w:rFonts w:cs="Times New Roman"/>
                <w:sz w:val="20"/>
                <w:szCs w:val="20"/>
              </w:rPr>
              <w:t xml:space="preserve">, and </w:t>
            </w:r>
            <w:proofErr w:type="spellStart"/>
            <w:r w:rsidRPr="008C335B">
              <w:rPr>
                <w:rFonts w:cs="Times New Roman"/>
                <w:sz w:val="20"/>
                <w:szCs w:val="20"/>
              </w:rPr>
              <w:t>other</w:t>
            </w:r>
            <w:proofErr w:type="spellEnd"/>
            <w:r w:rsidRPr="008C335B">
              <w:rPr>
                <w:rFonts w:cs="Times New Roman"/>
                <w:sz w:val="20"/>
                <w:szCs w:val="20"/>
              </w:rPr>
              <w:t xml:space="preserve"> non-vehicular </w:t>
            </w:r>
            <w:proofErr w:type="spellStart"/>
            <w:r w:rsidRPr="008C335B">
              <w:rPr>
                <w:rFonts w:cs="Times New Roman"/>
                <w:sz w:val="20"/>
                <w:szCs w:val="20"/>
              </w:rPr>
              <w:t>modes</w:t>
            </w:r>
            <w:proofErr w:type="spellEnd"/>
          </w:p>
        </w:tc>
        <w:tc>
          <w:tcPr>
            <w:tcW w:w="1795" w:type="dxa"/>
          </w:tcPr>
          <w:p w:rsidR="00F34A85" w:rsidRPr="008C335B" w:rsidRDefault="00F34A85" w:rsidP="005534F4">
            <w:pPr>
              <w:rPr>
                <w:sz w:val="20"/>
                <w:szCs w:val="20"/>
              </w:rPr>
            </w:pPr>
            <w:r w:rsidRPr="008C335B">
              <w:rPr>
                <w:sz w:val="20"/>
                <w:szCs w:val="20"/>
              </w:rPr>
              <w:t>B.2.1, B.2.2</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rPr>
                <w:rFonts w:cs="Times New Roman"/>
                <w:sz w:val="20"/>
                <w:szCs w:val="20"/>
              </w:rPr>
            </w:pPr>
            <w:r>
              <w:rPr>
                <w:rFonts w:cs="Times New Roman"/>
                <w:sz w:val="20"/>
                <w:szCs w:val="20"/>
              </w:rPr>
              <w:t>B.</w:t>
            </w:r>
            <w:r w:rsidRPr="008C335B">
              <w:rPr>
                <w:rFonts w:cs="Times New Roman"/>
                <w:sz w:val="20"/>
                <w:szCs w:val="20"/>
              </w:rPr>
              <w:t xml:space="preserve">3. </w:t>
            </w:r>
            <w:proofErr w:type="spellStart"/>
            <w:r w:rsidRPr="008C335B">
              <w:rPr>
                <w:rFonts w:cs="Times New Roman"/>
                <w:sz w:val="20"/>
                <w:szCs w:val="20"/>
              </w:rPr>
              <w:t>Improve</w:t>
            </w:r>
            <w:proofErr w:type="spellEnd"/>
            <w:r w:rsidRPr="008C335B">
              <w:rPr>
                <w:rFonts w:cs="Times New Roman"/>
                <w:sz w:val="20"/>
                <w:szCs w:val="20"/>
              </w:rPr>
              <w:t xml:space="preserve"> </w:t>
            </w:r>
            <w:proofErr w:type="spellStart"/>
            <w:r w:rsidRPr="008C335B">
              <w:rPr>
                <w:rFonts w:cs="Times New Roman"/>
                <w:sz w:val="20"/>
                <w:szCs w:val="20"/>
              </w:rPr>
              <w:t>the</w:t>
            </w:r>
            <w:proofErr w:type="spellEnd"/>
            <w:r w:rsidRPr="008C335B">
              <w:rPr>
                <w:rFonts w:cs="Times New Roman"/>
                <w:sz w:val="20"/>
                <w:szCs w:val="20"/>
              </w:rPr>
              <w:t xml:space="preserve"> multimodal </w:t>
            </w:r>
            <w:proofErr w:type="spellStart"/>
            <w:r w:rsidRPr="008C335B">
              <w:rPr>
                <w:rFonts w:cs="Times New Roman"/>
                <w:sz w:val="20"/>
                <w:szCs w:val="20"/>
              </w:rPr>
              <w:t>system</w:t>
            </w:r>
            <w:proofErr w:type="spellEnd"/>
            <w:r w:rsidRPr="008C335B">
              <w:rPr>
                <w:rFonts w:cs="Times New Roman"/>
                <w:sz w:val="20"/>
                <w:szCs w:val="20"/>
              </w:rPr>
              <w:t xml:space="preserve"> </w:t>
            </w:r>
            <w:proofErr w:type="spellStart"/>
            <w:r w:rsidRPr="008C335B">
              <w:rPr>
                <w:rFonts w:cs="Times New Roman"/>
                <w:sz w:val="20"/>
                <w:szCs w:val="20"/>
              </w:rPr>
              <w:t>while</w:t>
            </w:r>
            <w:proofErr w:type="spellEnd"/>
            <w:r w:rsidRPr="008C335B">
              <w:rPr>
                <w:rFonts w:cs="Times New Roman"/>
                <w:sz w:val="20"/>
                <w:szCs w:val="20"/>
              </w:rPr>
              <w:t xml:space="preserve"> </w:t>
            </w:r>
            <w:proofErr w:type="spellStart"/>
            <w:r w:rsidRPr="008C335B">
              <w:rPr>
                <w:rFonts w:cs="Times New Roman"/>
                <w:sz w:val="20"/>
                <w:szCs w:val="20"/>
              </w:rPr>
              <w:t>protecting</w:t>
            </w:r>
            <w:proofErr w:type="spellEnd"/>
            <w:r w:rsidRPr="008C335B">
              <w:rPr>
                <w:rFonts w:cs="Times New Roman"/>
                <w:sz w:val="20"/>
                <w:szCs w:val="20"/>
              </w:rPr>
              <w:t xml:space="preserve"> and </w:t>
            </w:r>
            <w:proofErr w:type="spellStart"/>
            <w:r w:rsidRPr="008C335B">
              <w:rPr>
                <w:rFonts w:cs="Times New Roman"/>
                <w:sz w:val="20"/>
                <w:szCs w:val="20"/>
              </w:rPr>
              <w:t>enhancing</w:t>
            </w:r>
            <w:proofErr w:type="spellEnd"/>
            <w:r w:rsidRPr="008C335B">
              <w:rPr>
                <w:rFonts w:cs="Times New Roman"/>
                <w:sz w:val="20"/>
                <w:szCs w:val="20"/>
              </w:rPr>
              <w:t xml:space="preserve"> </w:t>
            </w:r>
            <w:proofErr w:type="spellStart"/>
            <w:r w:rsidRPr="008C335B">
              <w:rPr>
                <w:rFonts w:cs="Times New Roman"/>
                <w:sz w:val="20"/>
                <w:szCs w:val="20"/>
              </w:rPr>
              <w:t>the</w:t>
            </w:r>
            <w:proofErr w:type="spellEnd"/>
            <w:r w:rsidRPr="008C335B">
              <w:rPr>
                <w:rFonts w:cs="Times New Roman"/>
                <w:sz w:val="20"/>
                <w:szCs w:val="20"/>
              </w:rPr>
              <w:t xml:space="preserve"> natural </w:t>
            </w:r>
            <w:proofErr w:type="spellStart"/>
            <w:r w:rsidRPr="008C335B">
              <w:rPr>
                <w:rFonts w:cs="Times New Roman"/>
                <w:sz w:val="20"/>
                <w:szCs w:val="20"/>
              </w:rPr>
              <w:t>environment</w:t>
            </w:r>
            <w:proofErr w:type="spellEnd"/>
          </w:p>
        </w:tc>
        <w:tc>
          <w:tcPr>
            <w:tcW w:w="1795" w:type="dxa"/>
          </w:tcPr>
          <w:p w:rsidR="00F34A85" w:rsidRPr="008C335B" w:rsidRDefault="00F34A85" w:rsidP="005534F4">
            <w:pPr>
              <w:rPr>
                <w:sz w:val="20"/>
                <w:szCs w:val="20"/>
              </w:rPr>
            </w:pPr>
            <w:r w:rsidRPr="008C335B">
              <w:rPr>
                <w:sz w:val="20"/>
                <w:szCs w:val="20"/>
              </w:rPr>
              <w:t>B.3.1</w:t>
            </w:r>
          </w:p>
        </w:tc>
      </w:tr>
      <w:tr w:rsidR="00F34A85" w:rsidRPr="008C335B" w:rsidTr="005534F4">
        <w:trPr>
          <w:jc w:val="center"/>
        </w:trPr>
        <w:tc>
          <w:tcPr>
            <w:tcW w:w="2065" w:type="dxa"/>
            <w:vMerge w:val="restart"/>
          </w:tcPr>
          <w:p w:rsidR="00F34A85" w:rsidRPr="008C335B" w:rsidRDefault="00F34A85" w:rsidP="005534F4">
            <w:pPr>
              <w:rPr>
                <w:sz w:val="20"/>
                <w:szCs w:val="20"/>
              </w:rPr>
            </w:pPr>
            <w:r>
              <w:rPr>
                <w:sz w:val="20"/>
                <w:szCs w:val="20"/>
              </w:rPr>
              <w:t xml:space="preserve">C. </w:t>
            </w:r>
            <w:proofErr w:type="spellStart"/>
            <w:r>
              <w:rPr>
                <w:sz w:val="20"/>
                <w:szCs w:val="20"/>
              </w:rPr>
              <w:t>Community</w:t>
            </w:r>
            <w:proofErr w:type="spellEnd"/>
            <w:r>
              <w:rPr>
                <w:sz w:val="20"/>
                <w:szCs w:val="20"/>
              </w:rPr>
              <w:t xml:space="preserve"> to </w:t>
            </w:r>
            <w:proofErr w:type="spellStart"/>
            <w:r>
              <w:rPr>
                <w:sz w:val="20"/>
                <w:szCs w:val="20"/>
              </w:rPr>
              <w:t>R</w:t>
            </w:r>
            <w:r w:rsidRPr="008C335B">
              <w:rPr>
                <w:sz w:val="20"/>
                <w:szCs w:val="20"/>
              </w:rPr>
              <w:t>egion</w:t>
            </w:r>
            <w:proofErr w:type="spellEnd"/>
          </w:p>
        </w:tc>
        <w:tc>
          <w:tcPr>
            <w:tcW w:w="5490" w:type="dxa"/>
          </w:tcPr>
          <w:p w:rsidR="00F34A85" w:rsidRPr="008C335B" w:rsidRDefault="00F34A85" w:rsidP="005534F4">
            <w:pPr>
              <w:rPr>
                <w:sz w:val="20"/>
                <w:szCs w:val="20"/>
              </w:rPr>
            </w:pPr>
            <w:r>
              <w:rPr>
                <w:sz w:val="20"/>
                <w:szCs w:val="20"/>
              </w:rPr>
              <w:t>C.</w:t>
            </w:r>
            <w:r w:rsidRPr="008C335B">
              <w:rPr>
                <w:sz w:val="20"/>
                <w:szCs w:val="20"/>
              </w:rPr>
              <w:t xml:space="preserve">1. </w:t>
            </w:r>
            <w:proofErr w:type="spellStart"/>
            <w:r w:rsidRPr="008C335B">
              <w:rPr>
                <w:rFonts w:cs="Times New Roman"/>
                <w:sz w:val="20"/>
                <w:szCs w:val="20"/>
              </w:rPr>
              <w:t>Provide</w:t>
            </w:r>
            <w:proofErr w:type="spellEnd"/>
            <w:r w:rsidRPr="008C335B">
              <w:rPr>
                <w:rFonts w:cs="Times New Roman"/>
                <w:sz w:val="20"/>
                <w:szCs w:val="20"/>
              </w:rPr>
              <w:t xml:space="preserve"> incentives </w:t>
            </w:r>
            <w:proofErr w:type="spellStart"/>
            <w:r w:rsidRPr="008C335B">
              <w:rPr>
                <w:rFonts w:cs="Times New Roman"/>
                <w:sz w:val="20"/>
                <w:szCs w:val="20"/>
              </w:rPr>
              <w:t>for</w:t>
            </w:r>
            <w:proofErr w:type="spellEnd"/>
            <w:r w:rsidRPr="008C335B">
              <w:rPr>
                <w:rFonts w:cs="Times New Roman"/>
                <w:sz w:val="20"/>
                <w:szCs w:val="20"/>
              </w:rPr>
              <w:t xml:space="preserve"> complete </w:t>
            </w:r>
            <w:proofErr w:type="spellStart"/>
            <w:r w:rsidRPr="008C335B">
              <w:rPr>
                <w:rFonts w:cs="Times New Roman"/>
                <w:sz w:val="20"/>
                <w:szCs w:val="20"/>
              </w:rPr>
              <w:t>streets</w:t>
            </w:r>
            <w:proofErr w:type="spellEnd"/>
            <w:r w:rsidRPr="008C335B">
              <w:rPr>
                <w:rFonts w:cs="Times New Roman"/>
                <w:sz w:val="20"/>
                <w:szCs w:val="20"/>
              </w:rPr>
              <w:t xml:space="preserve"> </w:t>
            </w:r>
            <w:proofErr w:type="spellStart"/>
            <w:r w:rsidRPr="008C335B">
              <w:rPr>
                <w:rFonts w:cs="Times New Roman"/>
                <w:sz w:val="20"/>
                <w:szCs w:val="20"/>
              </w:rPr>
              <w:t>project</w:t>
            </w:r>
            <w:proofErr w:type="spellEnd"/>
            <w:r w:rsidRPr="008C335B">
              <w:rPr>
                <w:rFonts w:cs="Times New Roman"/>
                <w:sz w:val="20"/>
                <w:szCs w:val="20"/>
              </w:rPr>
              <w:t xml:space="preserve"> </w:t>
            </w:r>
            <w:proofErr w:type="spellStart"/>
            <w:r w:rsidRPr="008C335B">
              <w:rPr>
                <w:rFonts w:cs="Times New Roman"/>
                <w:sz w:val="20"/>
                <w:szCs w:val="20"/>
              </w:rPr>
              <w:t>design</w:t>
            </w:r>
            <w:proofErr w:type="spellEnd"/>
          </w:p>
        </w:tc>
        <w:tc>
          <w:tcPr>
            <w:tcW w:w="1795" w:type="dxa"/>
          </w:tcPr>
          <w:p w:rsidR="00F34A85" w:rsidRPr="008C335B" w:rsidRDefault="00F34A85" w:rsidP="005534F4">
            <w:pPr>
              <w:rPr>
                <w:sz w:val="20"/>
                <w:szCs w:val="20"/>
              </w:rPr>
            </w:pPr>
            <w:r w:rsidRPr="008C335B">
              <w:rPr>
                <w:sz w:val="20"/>
                <w:szCs w:val="20"/>
              </w:rPr>
              <w:t>C.1.1</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rPr>
                <w:sz w:val="20"/>
                <w:szCs w:val="20"/>
              </w:rPr>
            </w:pPr>
            <w:r>
              <w:rPr>
                <w:rFonts w:cs="Times New Roman"/>
                <w:sz w:val="20"/>
                <w:szCs w:val="20"/>
              </w:rPr>
              <w:t>C.</w:t>
            </w:r>
            <w:r w:rsidRPr="008C335B">
              <w:rPr>
                <w:rFonts w:cs="Times New Roman"/>
                <w:sz w:val="20"/>
                <w:szCs w:val="20"/>
              </w:rPr>
              <w:t xml:space="preserve">2. </w:t>
            </w:r>
            <w:proofErr w:type="spellStart"/>
            <w:r w:rsidRPr="008C335B">
              <w:rPr>
                <w:rFonts w:cs="Times New Roman"/>
                <w:sz w:val="20"/>
                <w:szCs w:val="20"/>
              </w:rPr>
              <w:t>Improve</w:t>
            </w:r>
            <w:proofErr w:type="spellEnd"/>
            <w:r w:rsidRPr="008C335B">
              <w:rPr>
                <w:rFonts w:cs="Times New Roman"/>
                <w:sz w:val="20"/>
                <w:szCs w:val="20"/>
              </w:rPr>
              <w:t xml:space="preserve"> </w:t>
            </w:r>
            <w:proofErr w:type="spellStart"/>
            <w:r w:rsidRPr="008C335B">
              <w:rPr>
                <w:rFonts w:cs="Times New Roman"/>
                <w:sz w:val="20"/>
                <w:szCs w:val="20"/>
              </w:rPr>
              <w:t>mobility</w:t>
            </w:r>
            <w:proofErr w:type="spellEnd"/>
            <w:r w:rsidRPr="008C335B">
              <w:rPr>
                <w:rFonts w:cs="Times New Roman"/>
                <w:sz w:val="20"/>
                <w:szCs w:val="20"/>
              </w:rPr>
              <w:t xml:space="preserve"> and </w:t>
            </w:r>
            <w:proofErr w:type="spellStart"/>
            <w:r w:rsidRPr="008C335B">
              <w:rPr>
                <w:rFonts w:cs="Times New Roman"/>
                <w:sz w:val="20"/>
                <w:szCs w:val="20"/>
              </w:rPr>
              <w:t>support</w:t>
            </w:r>
            <w:proofErr w:type="spellEnd"/>
            <w:r w:rsidRPr="008C335B">
              <w:rPr>
                <w:rFonts w:cs="Times New Roman"/>
                <w:sz w:val="20"/>
                <w:szCs w:val="20"/>
              </w:rPr>
              <w:t xml:space="preserve"> </w:t>
            </w:r>
            <w:proofErr w:type="spellStart"/>
            <w:r w:rsidRPr="008C335B">
              <w:rPr>
                <w:rFonts w:cs="Times New Roman"/>
                <w:sz w:val="20"/>
                <w:szCs w:val="20"/>
              </w:rPr>
              <w:t>economic</w:t>
            </w:r>
            <w:proofErr w:type="spellEnd"/>
            <w:r w:rsidRPr="008C335B">
              <w:rPr>
                <w:rFonts w:cs="Times New Roman"/>
                <w:sz w:val="20"/>
                <w:szCs w:val="20"/>
              </w:rPr>
              <w:t xml:space="preserve"> </w:t>
            </w:r>
            <w:proofErr w:type="spellStart"/>
            <w:r w:rsidRPr="008C335B">
              <w:rPr>
                <w:rFonts w:cs="Times New Roman"/>
                <w:sz w:val="20"/>
                <w:szCs w:val="20"/>
              </w:rPr>
              <w:t>development</w:t>
            </w:r>
            <w:proofErr w:type="spellEnd"/>
            <w:r w:rsidRPr="008C335B">
              <w:rPr>
                <w:rFonts w:cs="Times New Roman"/>
                <w:sz w:val="20"/>
                <w:szCs w:val="20"/>
              </w:rPr>
              <w:t xml:space="preserve"> </w:t>
            </w:r>
            <w:proofErr w:type="spellStart"/>
            <w:r w:rsidRPr="008C335B">
              <w:rPr>
                <w:rFonts w:cs="Times New Roman"/>
                <w:sz w:val="20"/>
                <w:szCs w:val="20"/>
              </w:rPr>
              <w:t>by</w:t>
            </w:r>
            <w:proofErr w:type="spellEnd"/>
            <w:r w:rsidRPr="008C335B">
              <w:rPr>
                <w:rFonts w:cs="Times New Roman"/>
                <w:sz w:val="20"/>
                <w:szCs w:val="20"/>
              </w:rPr>
              <w:t xml:space="preserve"> </w:t>
            </w:r>
            <w:proofErr w:type="spellStart"/>
            <w:r w:rsidRPr="008C335B">
              <w:rPr>
                <w:rFonts w:cs="Times New Roman"/>
                <w:sz w:val="20"/>
                <w:szCs w:val="20"/>
              </w:rPr>
              <w:t>providing</w:t>
            </w:r>
            <w:proofErr w:type="spellEnd"/>
            <w:r w:rsidRPr="008C335B">
              <w:rPr>
                <w:rFonts w:cs="Times New Roman"/>
                <w:sz w:val="20"/>
                <w:szCs w:val="20"/>
              </w:rPr>
              <w:t xml:space="preserve"> </w:t>
            </w:r>
            <w:proofErr w:type="spellStart"/>
            <w:r w:rsidRPr="008C335B">
              <w:rPr>
                <w:rFonts w:cs="Times New Roman"/>
                <w:sz w:val="20"/>
                <w:szCs w:val="20"/>
              </w:rPr>
              <w:t>expanded</w:t>
            </w:r>
            <w:proofErr w:type="spellEnd"/>
            <w:r w:rsidRPr="008C335B">
              <w:rPr>
                <w:rFonts w:cs="Times New Roman"/>
                <w:sz w:val="20"/>
                <w:szCs w:val="20"/>
              </w:rPr>
              <w:t xml:space="preserve"> set of </w:t>
            </w:r>
            <w:proofErr w:type="spellStart"/>
            <w:r w:rsidRPr="008C335B">
              <w:rPr>
                <w:rFonts w:cs="Times New Roman"/>
                <w:sz w:val="20"/>
                <w:szCs w:val="20"/>
              </w:rPr>
              <w:t>travel</w:t>
            </w:r>
            <w:proofErr w:type="spellEnd"/>
            <w:r w:rsidRPr="008C335B">
              <w:rPr>
                <w:rFonts w:cs="Times New Roman"/>
                <w:sz w:val="20"/>
                <w:szCs w:val="20"/>
              </w:rPr>
              <w:t xml:space="preserve"> </w:t>
            </w:r>
            <w:proofErr w:type="spellStart"/>
            <w:r w:rsidRPr="008C335B">
              <w:rPr>
                <w:rFonts w:cs="Times New Roman"/>
                <w:sz w:val="20"/>
                <w:szCs w:val="20"/>
              </w:rPr>
              <w:t>options</w:t>
            </w:r>
            <w:proofErr w:type="spellEnd"/>
            <w:r w:rsidRPr="008C335B">
              <w:rPr>
                <w:rFonts w:cs="Times New Roman"/>
                <w:sz w:val="20"/>
                <w:szCs w:val="20"/>
              </w:rPr>
              <w:t xml:space="preserve">, </w:t>
            </w:r>
            <w:proofErr w:type="spellStart"/>
            <w:r w:rsidRPr="008C335B">
              <w:rPr>
                <w:rFonts w:cs="Times New Roman"/>
                <w:sz w:val="20"/>
                <w:szCs w:val="20"/>
              </w:rPr>
              <w:t>with</w:t>
            </w:r>
            <w:proofErr w:type="spellEnd"/>
            <w:r w:rsidRPr="008C335B">
              <w:rPr>
                <w:rFonts w:cs="Times New Roman"/>
                <w:sz w:val="20"/>
                <w:szCs w:val="20"/>
              </w:rPr>
              <w:t xml:space="preserve"> </w:t>
            </w:r>
            <w:proofErr w:type="spellStart"/>
            <w:r w:rsidRPr="008C335B">
              <w:rPr>
                <w:rFonts w:cs="Times New Roman"/>
                <w:sz w:val="20"/>
                <w:szCs w:val="20"/>
              </w:rPr>
              <w:t>emphasis</w:t>
            </w:r>
            <w:proofErr w:type="spellEnd"/>
            <w:r w:rsidRPr="008C335B">
              <w:rPr>
                <w:rFonts w:cs="Times New Roman"/>
                <w:sz w:val="20"/>
                <w:szCs w:val="20"/>
              </w:rPr>
              <w:t xml:space="preserve"> </w:t>
            </w:r>
            <w:proofErr w:type="spellStart"/>
            <w:r w:rsidRPr="008C335B">
              <w:rPr>
                <w:rFonts w:cs="Times New Roman"/>
                <w:sz w:val="20"/>
                <w:szCs w:val="20"/>
              </w:rPr>
              <w:t>on</w:t>
            </w:r>
            <w:proofErr w:type="spellEnd"/>
            <w:r w:rsidRPr="008C335B">
              <w:rPr>
                <w:rFonts w:cs="Times New Roman"/>
                <w:sz w:val="20"/>
                <w:szCs w:val="20"/>
              </w:rPr>
              <w:t xml:space="preserve"> </w:t>
            </w:r>
            <w:proofErr w:type="spellStart"/>
            <w:r w:rsidRPr="008C335B">
              <w:rPr>
                <w:rFonts w:cs="Times New Roman"/>
                <w:sz w:val="20"/>
                <w:szCs w:val="20"/>
              </w:rPr>
              <w:t>public</w:t>
            </w:r>
            <w:proofErr w:type="spellEnd"/>
            <w:r w:rsidRPr="008C335B">
              <w:rPr>
                <w:rFonts w:cs="Times New Roman"/>
                <w:sz w:val="20"/>
                <w:szCs w:val="20"/>
              </w:rPr>
              <w:t xml:space="preserve"> </w:t>
            </w:r>
            <w:proofErr w:type="spellStart"/>
            <w:r w:rsidRPr="008C335B">
              <w:rPr>
                <w:rFonts w:cs="Times New Roman"/>
                <w:sz w:val="20"/>
                <w:szCs w:val="20"/>
              </w:rPr>
              <w:t>transit</w:t>
            </w:r>
            <w:proofErr w:type="spellEnd"/>
          </w:p>
        </w:tc>
        <w:tc>
          <w:tcPr>
            <w:tcW w:w="1795" w:type="dxa"/>
          </w:tcPr>
          <w:p w:rsidR="00F34A85" w:rsidRPr="008C335B" w:rsidRDefault="00F34A85" w:rsidP="005534F4">
            <w:pPr>
              <w:rPr>
                <w:sz w:val="20"/>
                <w:szCs w:val="20"/>
              </w:rPr>
            </w:pPr>
            <w:r w:rsidRPr="008C335B">
              <w:rPr>
                <w:sz w:val="20"/>
                <w:szCs w:val="20"/>
              </w:rPr>
              <w:t>C.2.1, C.2.2, C.2.3, C.2.4, C.2.5, C.2.6</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rPr>
                <w:rFonts w:cs="Times New Roman"/>
                <w:sz w:val="20"/>
                <w:szCs w:val="20"/>
              </w:rPr>
            </w:pPr>
            <w:r>
              <w:rPr>
                <w:rFonts w:cs="Times New Roman"/>
                <w:sz w:val="20"/>
                <w:szCs w:val="20"/>
              </w:rPr>
              <w:t>C.</w:t>
            </w:r>
            <w:r w:rsidRPr="008C335B">
              <w:rPr>
                <w:rFonts w:cs="Times New Roman"/>
                <w:sz w:val="20"/>
                <w:szCs w:val="20"/>
              </w:rPr>
              <w:t xml:space="preserve">3. </w:t>
            </w:r>
            <w:proofErr w:type="spellStart"/>
            <w:r w:rsidRPr="008C335B">
              <w:rPr>
                <w:rFonts w:cs="Times New Roman"/>
                <w:sz w:val="20"/>
                <w:szCs w:val="20"/>
              </w:rPr>
              <w:t>Improve</w:t>
            </w:r>
            <w:proofErr w:type="spellEnd"/>
            <w:r w:rsidRPr="008C335B">
              <w:rPr>
                <w:rFonts w:cs="Times New Roman"/>
                <w:sz w:val="20"/>
                <w:szCs w:val="20"/>
              </w:rPr>
              <w:t xml:space="preserve"> </w:t>
            </w:r>
            <w:proofErr w:type="spellStart"/>
            <w:r w:rsidRPr="008C335B">
              <w:rPr>
                <w:rFonts w:cs="Times New Roman"/>
                <w:sz w:val="20"/>
                <w:szCs w:val="20"/>
              </w:rPr>
              <w:t>travel</w:t>
            </w:r>
            <w:proofErr w:type="spellEnd"/>
            <w:r w:rsidRPr="008C335B">
              <w:rPr>
                <w:rFonts w:cs="Times New Roman"/>
                <w:sz w:val="20"/>
                <w:szCs w:val="20"/>
              </w:rPr>
              <w:t xml:space="preserve"> time </w:t>
            </w:r>
            <w:proofErr w:type="spellStart"/>
            <w:r w:rsidRPr="008C335B">
              <w:rPr>
                <w:rFonts w:cs="Times New Roman"/>
                <w:sz w:val="20"/>
                <w:szCs w:val="20"/>
              </w:rPr>
              <w:t>reliability</w:t>
            </w:r>
            <w:proofErr w:type="spellEnd"/>
            <w:r w:rsidRPr="008C335B">
              <w:rPr>
                <w:rFonts w:cs="Times New Roman"/>
                <w:sz w:val="20"/>
                <w:szCs w:val="20"/>
              </w:rPr>
              <w:t xml:space="preserve"> </w:t>
            </w:r>
            <w:proofErr w:type="spellStart"/>
            <w:r w:rsidRPr="008C335B">
              <w:rPr>
                <w:rFonts w:cs="Times New Roman"/>
                <w:sz w:val="20"/>
                <w:szCs w:val="20"/>
              </w:rPr>
              <w:t>through</w:t>
            </w:r>
            <w:proofErr w:type="spellEnd"/>
            <w:r w:rsidRPr="008C335B">
              <w:rPr>
                <w:rFonts w:cs="Times New Roman"/>
                <w:sz w:val="20"/>
                <w:szCs w:val="20"/>
              </w:rPr>
              <w:t xml:space="preserve"> </w:t>
            </w:r>
            <w:proofErr w:type="spellStart"/>
            <w:r w:rsidRPr="008C335B">
              <w:rPr>
                <w:rFonts w:cs="Times New Roman"/>
                <w:sz w:val="20"/>
                <w:szCs w:val="20"/>
              </w:rPr>
              <w:t>improved</w:t>
            </w:r>
            <w:proofErr w:type="spellEnd"/>
            <w:r w:rsidRPr="008C335B">
              <w:rPr>
                <w:rFonts w:cs="Times New Roman"/>
                <w:sz w:val="20"/>
                <w:szCs w:val="20"/>
              </w:rPr>
              <w:t xml:space="preserve"> </w:t>
            </w:r>
            <w:proofErr w:type="spellStart"/>
            <w:r w:rsidRPr="008C335B">
              <w:rPr>
                <w:rFonts w:cs="Times New Roman"/>
                <w:sz w:val="20"/>
                <w:szCs w:val="20"/>
              </w:rPr>
              <w:t>system</w:t>
            </w:r>
            <w:proofErr w:type="spellEnd"/>
            <w:r w:rsidRPr="008C335B">
              <w:rPr>
                <w:rFonts w:cs="Times New Roman"/>
                <w:sz w:val="20"/>
                <w:szCs w:val="20"/>
              </w:rPr>
              <w:t xml:space="preserve"> </w:t>
            </w:r>
            <w:proofErr w:type="spellStart"/>
            <w:r w:rsidRPr="008C335B">
              <w:rPr>
                <w:rFonts w:cs="Times New Roman"/>
                <w:sz w:val="20"/>
                <w:szCs w:val="20"/>
              </w:rPr>
              <w:t>operations</w:t>
            </w:r>
            <w:proofErr w:type="spellEnd"/>
          </w:p>
        </w:tc>
        <w:tc>
          <w:tcPr>
            <w:tcW w:w="1795" w:type="dxa"/>
          </w:tcPr>
          <w:p w:rsidR="00F34A85" w:rsidRPr="008C335B" w:rsidRDefault="00F34A85" w:rsidP="005534F4">
            <w:pPr>
              <w:rPr>
                <w:sz w:val="20"/>
                <w:szCs w:val="20"/>
              </w:rPr>
            </w:pPr>
            <w:r w:rsidRPr="008C335B">
              <w:rPr>
                <w:sz w:val="20"/>
                <w:szCs w:val="20"/>
              </w:rPr>
              <w:t>C.3.1, C.3.2</w:t>
            </w:r>
          </w:p>
        </w:tc>
      </w:tr>
      <w:tr w:rsidR="00F34A85" w:rsidRPr="008C335B" w:rsidTr="005534F4">
        <w:trPr>
          <w:jc w:val="center"/>
        </w:trPr>
        <w:tc>
          <w:tcPr>
            <w:tcW w:w="2065" w:type="dxa"/>
            <w:vMerge w:val="restart"/>
          </w:tcPr>
          <w:p w:rsidR="00F34A85" w:rsidRPr="008C335B" w:rsidRDefault="00F34A85" w:rsidP="005534F4">
            <w:pPr>
              <w:rPr>
                <w:sz w:val="20"/>
                <w:szCs w:val="20"/>
              </w:rPr>
            </w:pPr>
            <w:r>
              <w:rPr>
                <w:sz w:val="20"/>
                <w:szCs w:val="20"/>
              </w:rPr>
              <w:t xml:space="preserve">D. </w:t>
            </w:r>
            <w:proofErr w:type="spellStart"/>
            <w:r>
              <w:rPr>
                <w:sz w:val="20"/>
                <w:szCs w:val="20"/>
              </w:rPr>
              <w:t>Region</w:t>
            </w:r>
            <w:proofErr w:type="spellEnd"/>
            <w:r>
              <w:rPr>
                <w:sz w:val="20"/>
                <w:szCs w:val="20"/>
              </w:rPr>
              <w:t xml:space="preserve"> to </w:t>
            </w:r>
            <w:proofErr w:type="spellStart"/>
            <w:r>
              <w:rPr>
                <w:sz w:val="20"/>
                <w:szCs w:val="20"/>
              </w:rPr>
              <w:t>R</w:t>
            </w:r>
            <w:r w:rsidRPr="008C335B">
              <w:rPr>
                <w:sz w:val="20"/>
                <w:szCs w:val="20"/>
              </w:rPr>
              <w:t>egion</w:t>
            </w:r>
            <w:proofErr w:type="spellEnd"/>
          </w:p>
        </w:tc>
        <w:tc>
          <w:tcPr>
            <w:tcW w:w="5490" w:type="dxa"/>
          </w:tcPr>
          <w:p w:rsidR="00F34A85" w:rsidRPr="008C335B" w:rsidRDefault="00F34A85" w:rsidP="005534F4">
            <w:pPr>
              <w:rPr>
                <w:sz w:val="20"/>
                <w:szCs w:val="20"/>
              </w:rPr>
            </w:pPr>
            <w:r>
              <w:rPr>
                <w:sz w:val="20"/>
                <w:szCs w:val="20"/>
              </w:rPr>
              <w:t>D.</w:t>
            </w:r>
            <w:r w:rsidRPr="008C335B">
              <w:rPr>
                <w:sz w:val="20"/>
                <w:szCs w:val="20"/>
              </w:rPr>
              <w:t>1.</w:t>
            </w:r>
            <w:r w:rsidRPr="008C335B">
              <w:rPr>
                <w:rFonts w:cs="Times New Roman"/>
                <w:sz w:val="20"/>
                <w:szCs w:val="20"/>
              </w:rPr>
              <w:t xml:space="preserve"> Preserve, </w:t>
            </w:r>
            <w:proofErr w:type="spellStart"/>
            <w:r w:rsidRPr="008C335B">
              <w:rPr>
                <w:rFonts w:cs="Times New Roman"/>
                <w:sz w:val="20"/>
                <w:szCs w:val="20"/>
              </w:rPr>
              <w:t>maintain</w:t>
            </w:r>
            <w:proofErr w:type="spellEnd"/>
            <w:r w:rsidRPr="008C335B">
              <w:rPr>
                <w:rFonts w:cs="Times New Roman"/>
                <w:sz w:val="20"/>
                <w:szCs w:val="20"/>
              </w:rPr>
              <w:t xml:space="preserve"> and </w:t>
            </w:r>
            <w:proofErr w:type="spellStart"/>
            <w:r w:rsidRPr="008C335B">
              <w:rPr>
                <w:rFonts w:cs="Times New Roman"/>
                <w:sz w:val="20"/>
                <w:szCs w:val="20"/>
              </w:rPr>
              <w:t>improve</w:t>
            </w:r>
            <w:proofErr w:type="spellEnd"/>
            <w:r w:rsidRPr="008C335B">
              <w:rPr>
                <w:rFonts w:cs="Times New Roman"/>
                <w:sz w:val="20"/>
                <w:szCs w:val="20"/>
              </w:rPr>
              <w:t xml:space="preserve"> </w:t>
            </w:r>
            <w:proofErr w:type="spellStart"/>
            <w:r w:rsidRPr="008C335B">
              <w:rPr>
                <w:rFonts w:cs="Times New Roman"/>
                <w:sz w:val="20"/>
                <w:szCs w:val="20"/>
              </w:rPr>
              <w:t>existing</w:t>
            </w:r>
            <w:proofErr w:type="spellEnd"/>
            <w:r w:rsidRPr="008C335B">
              <w:rPr>
                <w:rFonts w:cs="Times New Roman"/>
                <w:sz w:val="20"/>
                <w:szCs w:val="20"/>
              </w:rPr>
              <w:t xml:space="preserve"> </w:t>
            </w:r>
            <w:proofErr w:type="spellStart"/>
            <w:r w:rsidRPr="008C335B">
              <w:rPr>
                <w:rFonts w:cs="Times New Roman"/>
                <w:sz w:val="20"/>
                <w:szCs w:val="20"/>
              </w:rPr>
              <w:t>infrastructure</w:t>
            </w:r>
            <w:proofErr w:type="spellEnd"/>
            <w:r w:rsidRPr="008C335B">
              <w:rPr>
                <w:rFonts w:cs="Times New Roman"/>
                <w:sz w:val="20"/>
                <w:szCs w:val="20"/>
              </w:rPr>
              <w:t xml:space="preserve"> </w:t>
            </w:r>
            <w:proofErr w:type="spellStart"/>
            <w:r w:rsidRPr="008C335B">
              <w:rPr>
                <w:rFonts w:cs="Times New Roman"/>
                <w:sz w:val="20"/>
                <w:szCs w:val="20"/>
              </w:rPr>
              <w:t>before</w:t>
            </w:r>
            <w:proofErr w:type="spellEnd"/>
            <w:r w:rsidRPr="008C335B">
              <w:rPr>
                <w:rFonts w:cs="Times New Roman"/>
                <w:sz w:val="20"/>
                <w:szCs w:val="20"/>
              </w:rPr>
              <w:t xml:space="preserve"> </w:t>
            </w:r>
            <w:proofErr w:type="spellStart"/>
            <w:r w:rsidRPr="008C335B">
              <w:rPr>
                <w:rFonts w:cs="Times New Roman"/>
                <w:sz w:val="20"/>
                <w:szCs w:val="20"/>
              </w:rPr>
              <w:t>adding</w:t>
            </w:r>
            <w:proofErr w:type="spellEnd"/>
            <w:r w:rsidRPr="008C335B">
              <w:rPr>
                <w:rFonts w:cs="Times New Roman"/>
                <w:sz w:val="20"/>
                <w:szCs w:val="20"/>
              </w:rPr>
              <w:t xml:space="preserve"> new </w:t>
            </w:r>
            <w:proofErr w:type="spellStart"/>
            <w:r w:rsidRPr="008C335B">
              <w:rPr>
                <w:rFonts w:cs="Times New Roman"/>
                <w:sz w:val="20"/>
                <w:szCs w:val="20"/>
              </w:rPr>
              <w:t>capacity</w:t>
            </w:r>
            <w:proofErr w:type="spellEnd"/>
          </w:p>
        </w:tc>
        <w:tc>
          <w:tcPr>
            <w:tcW w:w="1795" w:type="dxa"/>
          </w:tcPr>
          <w:p w:rsidR="00F34A85" w:rsidRPr="008C335B" w:rsidRDefault="00F34A85" w:rsidP="005534F4">
            <w:pPr>
              <w:rPr>
                <w:sz w:val="20"/>
                <w:szCs w:val="20"/>
              </w:rPr>
            </w:pPr>
            <w:r w:rsidRPr="008C335B">
              <w:rPr>
                <w:sz w:val="20"/>
                <w:szCs w:val="20"/>
              </w:rPr>
              <w:t>D.1.1</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tabs>
                <w:tab w:val="left" w:pos="430"/>
              </w:tabs>
              <w:rPr>
                <w:sz w:val="20"/>
                <w:szCs w:val="20"/>
              </w:rPr>
            </w:pPr>
            <w:r>
              <w:rPr>
                <w:sz w:val="20"/>
                <w:szCs w:val="20"/>
              </w:rPr>
              <w:t>D.</w:t>
            </w:r>
            <w:r w:rsidRPr="008C335B">
              <w:rPr>
                <w:sz w:val="20"/>
                <w:szCs w:val="20"/>
              </w:rPr>
              <w:t xml:space="preserve">2. </w:t>
            </w:r>
            <w:r w:rsidRPr="008C335B">
              <w:rPr>
                <w:rFonts w:cs="Times New Roman"/>
                <w:sz w:val="20"/>
                <w:szCs w:val="20"/>
              </w:rPr>
              <w:t xml:space="preserve">Reduce </w:t>
            </w:r>
            <w:proofErr w:type="spellStart"/>
            <w:r w:rsidRPr="008C335B">
              <w:rPr>
                <w:rFonts w:cs="Times New Roman"/>
                <w:sz w:val="20"/>
                <w:szCs w:val="20"/>
              </w:rPr>
              <w:t>delay</w:t>
            </w:r>
            <w:proofErr w:type="spellEnd"/>
            <w:r w:rsidRPr="008C335B">
              <w:rPr>
                <w:rFonts w:cs="Times New Roman"/>
                <w:sz w:val="20"/>
                <w:szCs w:val="20"/>
              </w:rPr>
              <w:t xml:space="preserve"> </w:t>
            </w:r>
            <w:proofErr w:type="spellStart"/>
            <w:r w:rsidRPr="008C335B">
              <w:rPr>
                <w:rFonts w:cs="Times New Roman"/>
                <w:sz w:val="20"/>
                <w:szCs w:val="20"/>
              </w:rPr>
              <w:t>on</w:t>
            </w:r>
            <w:proofErr w:type="spellEnd"/>
            <w:r w:rsidRPr="008C335B">
              <w:rPr>
                <w:rFonts w:cs="Times New Roman"/>
                <w:sz w:val="20"/>
                <w:szCs w:val="20"/>
              </w:rPr>
              <w:t xml:space="preserve"> </w:t>
            </w:r>
            <w:proofErr w:type="spellStart"/>
            <w:r w:rsidRPr="008C335B">
              <w:rPr>
                <w:rFonts w:cs="Times New Roman"/>
                <w:sz w:val="20"/>
                <w:szCs w:val="20"/>
              </w:rPr>
              <w:t>critical</w:t>
            </w:r>
            <w:proofErr w:type="spellEnd"/>
            <w:r w:rsidRPr="008C335B">
              <w:rPr>
                <w:rFonts w:cs="Times New Roman"/>
                <w:sz w:val="20"/>
                <w:szCs w:val="20"/>
              </w:rPr>
              <w:t xml:space="preserve"> regional </w:t>
            </w:r>
            <w:proofErr w:type="spellStart"/>
            <w:r w:rsidRPr="008C335B">
              <w:rPr>
                <w:rFonts w:cs="Times New Roman"/>
                <w:sz w:val="20"/>
                <w:szCs w:val="20"/>
              </w:rPr>
              <w:t>thoroughfares</w:t>
            </w:r>
            <w:proofErr w:type="spellEnd"/>
            <w:r w:rsidRPr="008C335B">
              <w:rPr>
                <w:rFonts w:cs="Times New Roman"/>
                <w:sz w:val="20"/>
                <w:szCs w:val="20"/>
              </w:rPr>
              <w:t xml:space="preserve"> </w:t>
            </w:r>
            <w:proofErr w:type="spellStart"/>
            <w:r w:rsidRPr="008C335B">
              <w:rPr>
                <w:rFonts w:cs="Times New Roman"/>
                <w:sz w:val="20"/>
                <w:szCs w:val="20"/>
              </w:rPr>
              <w:t>with</w:t>
            </w:r>
            <w:proofErr w:type="spellEnd"/>
            <w:r w:rsidRPr="008C335B">
              <w:rPr>
                <w:rFonts w:cs="Times New Roman"/>
                <w:sz w:val="20"/>
                <w:szCs w:val="20"/>
              </w:rPr>
              <w:t xml:space="preserve"> </w:t>
            </w:r>
            <w:proofErr w:type="spellStart"/>
            <w:r w:rsidRPr="008C335B">
              <w:rPr>
                <w:rFonts w:cs="Times New Roman"/>
                <w:sz w:val="20"/>
                <w:szCs w:val="20"/>
              </w:rPr>
              <w:t>minimal</w:t>
            </w:r>
            <w:proofErr w:type="spellEnd"/>
            <w:r w:rsidRPr="008C335B">
              <w:rPr>
                <w:rFonts w:cs="Times New Roman"/>
                <w:sz w:val="20"/>
                <w:szCs w:val="20"/>
              </w:rPr>
              <w:t xml:space="preserve"> </w:t>
            </w:r>
            <w:proofErr w:type="spellStart"/>
            <w:r w:rsidRPr="008C335B">
              <w:rPr>
                <w:rFonts w:cs="Times New Roman"/>
                <w:sz w:val="20"/>
                <w:szCs w:val="20"/>
              </w:rPr>
              <w:t>impact</w:t>
            </w:r>
            <w:proofErr w:type="spellEnd"/>
            <w:r w:rsidRPr="008C335B">
              <w:rPr>
                <w:rFonts w:cs="Times New Roman"/>
                <w:sz w:val="20"/>
                <w:szCs w:val="20"/>
              </w:rPr>
              <w:t xml:space="preserve"> to </w:t>
            </w:r>
            <w:proofErr w:type="spellStart"/>
            <w:r w:rsidRPr="008C335B">
              <w:rPr>
                <w:rFonts w:cs="Times New Roman"/>
                <w:sz w:val="20"/>
                <w:szCs w:val="20"/>
              </w:rPr>
              <w:t>community</w:t>
            </w:r>
            <w:proofErr w:type="spellEnd"/>
            <w:r w:rsidRPr="008C335B">
              <w:rPr>
                <w:rFonts w:cs="Times New Roman"/>
                <w:sz w:val="20"/>
                <w:szCs w:val="20"/>
              </w:rPr>
              <w:t xml:space="preserve">, </w:t>
            </w:r>
            <w:proofErr w:type="spellStart"/>
            <w:r w:rsidRPr="008C335B">
              <w:rPr>
                <w:rFonts w:cs="Times New Roman"/>
                <w:sz w:val="20"/>
                <w:szCs w:val="20"/>
              </w:rPr>
              <w:t>historic</w:t>
            </w:r>
            <w:proofErr w:type="spellEnd"/>
            <w:r w:rsidRPr="008C335B">
              <w:rPr>
                <w:rFonts w:cs="Times New Roman"/>
                <w:sz w:val="20"/>
                <w:szCs w:val="20"/>
              </w:rPr>
              <w:t xml:space="preserve"> and </w:t>
            </w:r>
            <w:proofErr w:type="spellStart"/>
            <w:r w:rsidRPr="008C335B">
              <w:rPr>
                <w:rFonts w:cs="Times New Roman"/>
                <w:sz w:val="20"/>
                <w:szCs w:val="20"/>
              </w:rPr>
              <w:t>environmental</w:t>
            </w:r>
            <w:proofErr w:type="spellEnd"/>
            <w:r w:rsidRPr="008C335B">
              <w:rPr>
                <w:rFonts w:cs="Times New Roman"/>
                <w:sz w:val="20"/>
                <w:szCs w:val="20"/>
              </w:rPr>
              <w:t xml:space="preserve"> </w:t>
            </w:r>
            <w:proofErr w:type="spellStart"/>
            <w:r w:rsidRPr="008C335B">
              <w:rPr>
                <w:rFonts w:cs="Times New Roman"/>
                <w:sz w:val="20"/>
                <w:szCs w:val="20"/>
              </w:rPr>
              <w:t>resources</w:t>
            </w:r>
            <w:proofErr w:type="spellEnd"/>
          </w:p>
        </w:tc>
        <w:tc>
          <w:tcPr>
            <w:tcW w:w="1795" w:type="dxa"/>
          </w:tcPr>
          <w:p w:rsidR="00F34A85" w:rsidRPr="008C335B" w:rsidRDefault="00F34A85" w:rsidP="005534F4">
            <w:pPr>
              <w:rPr>
                <w:sz w:val="20"/>
                <w:szCs w:val="20"/>
              </w:rPr>
            </w:pPr>
            <w:r w:rsidRPr="008C335B">
              <w:rPr>
                <w:sz w:val="20"/>
                <w:szCs w:val="20"/>
              </w:rPr>
              <w:t>D.2.1</w:t>
            </w:r>
          </w:p>
        </w:tc>
      </w:tr>
      <w:tr w:rsidR="00F34A85" w:rsidRPr="008C335B" w:rsidTr="005534F4">
        <w:trPr>
          <w:jc w:val="center"/>
        </w:trPr>
        <w:tc>
          <w:tcPr>
            <w:tcW w:w="2065" w:type="dxa"/>
            <w:vMerge/>
          </w:tcPr>
          <w:p w:rsidR="00F34A85" w:rsidRPr="008C335B" w:rsidRDefault="00F34A85" w:rsidP="005534F4">
            <w:pPr>
              <w:rPr>
                <w:sz w:val="20"/>
                <w:szCs w:val="20"/>
              </w:rPr>
            </w:pPr>
          </w:p>
        </w:tc>
        <w:tc>
          <w:tcPr>
            <w:tcW w:w="5490" w:type="dxa"/>
          </w:tcPr>
          <w:p w:rsidR="00F34A85" w:rsidRPr="008C335B" w:rsidRDefault="00F34A85" w:rsidP="005534F4">
            <w:pPr>
              <w:rPr>
                <w:sz w:val="20"/>
                <w:szCs w:val="20"/>
              </w:rPr>
            </w:pPr>
            <w:r>
              <w:rPr>
                <w:sz w:val="20"/>
                <w:szCs w:val="20"/>
              </w:rPr>
              <w:t>D.</w:t>
            </w:r>
            <w:r w:rsidRPr="008C335B">
              <w:rPr>
                <w:sz w:val="20"/>
                <w:szCs w:val="20"/>
              </w:rPr>
              <w:t xml:space="preserve">3. </w:t>
            </w:r>
            <w:proofErr w:type="spellStart"/>
            <w:r w:rsidRPr="008C335B">
              <w:rPr>
                <w:rFonts w:cs="Times New Roman"/>
                <w:sz w:val="20"/>
                <w:szCs w:val="20"/>
              </w:rPr>
              <w:t>Improve</w:t>
            </w:r>
            <w:proofErr w:type="spellEnd"/>
            <w:r w:rsidRPr="008C335B">
              <w:rPr>
                <w:rFonts w:cs="Times New Roman"/>
                <w:sz w:val="20"/>
                <w:szCs w:val="20"/>
              </w:rPr>
              <w:t xml:space="preserve"> </w:t>
            </w:r>
            <w:proofErr w:type="spellStart"/>
            <w:r w:rsidRPr="008C335B">
              <w:rPr>
                <w:rFonts w:cs="Times New Roman"/>
                <w:sz w:val="20"/>
                <w:szCs w:val="20"/>
              </w:rPr>
              <w:t>efficiency</w:t>
            </w:r>
            <w:proofErr w:type="spellEnd"/>
            <w:r w:rsidRPr="008C335B">
              <w:rPr>
                <w:rFonts w:cs="Times New Roman"/>
                <w:sz w:val="20"/>
                <w:szCs w:val="20"/>
              </w:rPr>
              <w:t xml:space="preserve"> and </w:t>
            </w:r>
            <w:proofErr w:type="spellStart"/>
            <w:r w:rsidRPr="008C335B">
              <w:rPr>
                <w:rFonts w:cs="Times New Roman"/>
                <w:sz w:val="20"/>
                <w:szCs w:val="20"/>
              </w:rPr>
              <w:t>reliability</w:t>
            </w:r>
            <w:proofErr w:type="spellEnd"/>
            <w:r w:rsidRPr="008C335B">
              <w:rPr>
                <w:rFonts w:cs="Times New Roman"/>
                <w:sz w:val="20"/>
                <w:szCs w:val="20"/>
              </w:rPr>
              <w:t xml:space="preserve"> of </w:t>
            </w:r>
            <w:proofErr w:type="spellStart"/>
            <w:r w:rsidRPr="008C335B">
              <w:rPr>
                <w:rFonts w:cs="Times New Roman"/>
                <w:sz w:val="20"/>
                <w:szCs w:val="20"/>
              </w:rPr>
              <w:t>freight</w:t>
            </w:r>
            <w:proofErr w:type="spellEnd"/>
            <w:r w:rsidRPr="008C335B">
              <w:rPr>
                <w:rFonts w:cs="Times New Roman"/>
                <w:sz w:val="20"/>
                <w:szCs w:val="20"/>
              </w:rPr>
              <w:t xml:space="preserve">, cargo and </w:t>
            </w:r>
            <w:proofErr w:type="spellStart"/>
            <w:r w:rsidRPr="008C335B">
              <w:rPr>
                <w:rFonts w:cs="Times New Roman"/>
                <w:sz w:val="20"/>
                <w:szCs w:val="20"/>
              </w:rPr>
              <w:t>goods</w:t>
            </w:r>
            <w:proofErr w:type="spellEnd"/>
            <w:r w:rsidRPr="008C335B">
              <w:rPr>
                <w:rFonts w:cs="Times New Roman"/>
                <w:sz w:val="20"/>
                <w:szCs w:val="20"/>
              </w:rPr>
              <w:t xml:space="preserve"> </w:t>
            </w:r>
            <w:proofErr w:type="spellStart"/>
            <w:r w:rsidRPr="008C335B">
              <w:rPr>
                <w:rFonts w:cs="Times New Roman"/>
                <w:sz w:val="20"/>
                <w:szCs w:val="20"/>
              </w:rPr>
              <w:t>movement</w:t>
            </w:r>
            <w:proofErr w:type="spellEnd"/>
            <w:r w:rsidRPr="008C335B">
              <w:rPr>
                <w:rFonts w:cs="Times New Roman"/>
                <w:sz w:val="20"/>
                <w:szCs w:val="20"/>
              </w:rPr>
              <w:t xml:space="preserve"> </w:t>
            </w:r>
            <w:proofErr w:type="spellStart"/>
            <w:r w:rsidRPr="008C335B">
              <w:rPr>
                <w:rFonts w:cs="Times New Roman"/>
                <w:sz w:val="20"/>
                <w:szCs w:val="20"/>
              </w:rPr>
              <w:t>by</w:t>
            </w:r>
            <w:proofErr w:type="spellEnd"/>
            <w:r w:rsidRPr="008C335B">
              <w:rPr>
                <w:rFonts w:cs="Times New Roman"/>
                <w:sz w:val="20"/>
                <w:szCs w:val="20"/>
              </w:rPr>
              <w:t xml:space="preserve"> </w:t>
            </w:r>
            <w:proofErr w:type="spellStart"/>
            <w:r w:rsidRPr="008C335B">
              <w:rPr>
                <w:rFonts w:cs="Times New Roman"/>
                <w:sz w:val="20"/>
                <w:szCs w:val="20"/>
              </w:rPr>
              <w:t>reducing</w:t>
            </w:r>
            <w:proofErr w:type="spellEnd"/>
            <w:r w:rsidRPr="008C335B">
              <w:rPr>
                <w:rFonts w:cs="Times New Roman"/>
                <w:sz w:val="20"/>
                <w:szCs w:val="20"/>
              </w:rPr>
              <w:t xml:space="preserve"> </w:t>
            </w:r>
            <w:proofErr w:type="spellStart"/>
            <w:r w:rsidRPr="008C335B">
              <w:rPr>
                <w:rFonts w:cs="Times New Roman"/>
                <w:sz w:val="20"/>
                <w:szCs w:val="20"/>
              </w:rPr>
              <w:t>delay</w:t>
            </w:r>
            <w:proofErr w:type="spellEnd"/>
            <w:r w:rsidRPr="008C335B">
              <w:rPr>
                <w:rFonts w:cs="Times New Roman"/>
                <w:sz w:val="20"/>
                <w:szCs w:val="20"/>
              </w:rPr>
              <w:t xml:space="preserve"> </w:t>
            </w:r>
            <w:proofErr w:type="spellStart"/>
            <w:r w:rsidRPr="008C335B">
              <w:rPr>
                <w:rFonts w:cs="Times New Roman"/>
                <w:sz w:val="20"/>
                <w:szCs w:val="20"/>
              </w:rPr>
              <w:t>on</w:t>
            </w:r>
            <w:proofErr w:type="spellEnd"/>
            <w:r w:rsidRPr="008C335B">
              <w:rPr>
                <w:rFonts w:cs="Times New Roman"/>
                <w:sz w:val="20"/>
                <w:szCs w:val="20"/>
              </w:rPr>
              <w:t xml:space="preserve"> </w:t>
            </w:r>
            <w:proofErr w:type="spellStart"/>
            <w:r w:rsidRPr="008C335B">
              <w:rPr>
                <w:rFonts w:cs="Times New Roman"/>
                <w:sz w:val="20"/>
                <w:szCs w:val="20"/>
              </w:rPr>
              <w:t>corridors</w:t>
            </w:r>
            <w:proofErr w:type="spellEnd"/>
            <w:r w:rsidRPr="008C335B">
              <w:rPr>
                <w:rFonts w:cs="Times New Roman"/>
                <w:sz w:val="20"/>
                <w:szCs w:val="20"/>
              </w:rPr>
              <w:t xml:space="preserve"> </w:t>
            </w:r>
            <w:proofErr w:type="spellStart"/>
            <w:r w:rsidRPr="008C335B">
              <w:rPr>
                <w:rFonts w:cs="Times New Roman"/>
                <w:sz w:val="20"/>
                <w:szCs w:val="20"/>
              </w:rPr>
              <w:t>critical</w:t>
            </w:r>
            <w:proofErr w:type="spellEnd"/>
            <w:r w:rsidRPr="008C335B">
              <w:rPr>
                <w:rFonts w:cs="Times New Roman"/>
                <w:sz w:val="20"/>
                <w:szCs w:val="20"/>
              </w:rPr>
              <w:t xml:space="preserve"> to </w:t>
            </w:r>
            <w:proofErr w:type="spellStart"/>
            <w:r w:rsidRPr="008C335B">
              <w:rPr>
                <w:rFonts w:cs="Times New Roman"/>
                <w:sz w:val="20"/>
                <w:szCs w:val="20"/>
              </w:rPr>
              <w:t>freight</w:t>
            </w:r>
            <w:proofErr w:type="spellEnd"/>
            <w:r w:rsidRPr="008C335B">
              <w:rPr>
                <w:rFonts w:cs="Times New Roman"/>
                <w:sz w:val="20"/>
                <w:szCs w:val="20"/>
              </w:rPr>
              <w:t xml:space="preserve"> </w:t>
            </w:r>
            <w:proofErr w:type="spellStart"/>
            <w:r w:rsidRPr="008C335B">
              <w:rPr>
                <w:rFonts w:cs="Times New Roman"/>
                <w:sz w:val="20"/>
                <w:szCs w:val="20"/>
              </w:rPr>
              <w:t>movement</w:t>
            </w:r>
            <w:proofErr w:type="spellEnd"/>
          </w:p>
        </w:tc>
        <w:tc>
          <w:tcPr>
            <w:tcW w:w="1795" w:type="dxa"/>
          </w:tcPr>
          <w:p w:rsidR="00F34A85" w:rsidRPr="008C335B" w:rsidRDefault="00F34A85" w:rsidP="005534F4">
            <w:pPr>
              <w:rPr>
                <w:sz w:val="20"/>
                <w:szCs w:val="20"/>
              </w:rPr>
            </w:pPr>
            <w:r w:rsidRPr="008C335B">
              <w:rPr>
                <w:sz w:val="20"/>
                <w:szCs w:val="20"/>
              </w:rPr>
              <w:t>D.3.1</w:t>
            </w:r>
          </w:p>
        </w:tc>
      </w:tr>
    </w:tbl>
    <w:p w:rsidR="001112E5" w:rsidRDefault="001112E5"/>
    <w:p w:rsidR="001112E5" w:rsidRPr="001112E5" w:rsidRDefault="001112E5">
      <w:pPr>
        <w:rPr>
          <w:b/>
        </w:rPr>
      </w:pPr>
      <w:r>
        <w:rPr>
          <w:b/>
        </w:rPr>
        <w:t>What do the M</w:t>
      </w:r>
      <w:r w:rsidRPr="001112E5">
        <w:rPr>
          <w:b/>
        </w:rPr>
        <w:t xml:space="preserve">odes </w:t>
      </w:r>
      <w:r>
        <w:rPr>
          <w:b/>
        </w:rPr>
        <w:t>of T</w:t>
      </w:r>
      <w:r w:rsidRPr="001112E5">
        <w:rPr>
          <w:b/>
        </w:rPr>
        <w:t>ransportation mean?</w:t>
      </w:r>
    </w:p>
    <w:p w:rsidR="001112E5" w:rsidRDefault="001112E5" w:rsidP="001112E5">
      <w:pPr>
        <w:pStyle w:val="TX"/>
        <w:rPr>
          <w:rFonts w:ascii="Arial" w:hAnsi="Arial" w:cs="Arial"/>
          <w:b/>
          <w:sz w:val="20"/>
          <w:szCs w:val="20"/>
        </w:rPr>
      </w:pPr>
      <w:r w:rsidRPr="00836903">
        <w:rPr>
          <w:szCs w:val="22"/>
        </w:rPr>
        <w:t xml:space="preserve">In order to ensure that </w:t>
      </w:r>
      <w:r>
        <w:rPr>
          <w:szCs w:val="22"/>
        </w:rPr>
        <w:t xml:space="preserve">the selected </w:t>
      </w:r>
      <w:r w:rsidRPr="00836903">
        <w:rPr>
          <w:szCs w:val="22"/>
        </w:rPr>
        <w:t>performance measures assess transportation</w:t>
      </w:r>
      <w:r>
        <w:rPr>
          <w:szCs w:val="22"/>
        </w:rPr>
        <w:t xml:space="preserve"> across multiple modes</w:t>
      </w:r>
      <w:r w:rsidRPr="00836903">
        <w:rPr>
          <w:szCs w:val="22"/>
        </w:rPr>
        <w:t xml:space="preserve">, each performance measure was associated </w:t>
      </w:r>
      <w:r>
        <w:rPr>
          <w:szCs w:val="22"/>
        </w:rPr>
        <w:t>with</w:t>
      </w:r>
      <w:r w:rsidRPr="00836903">
        <w:rPr>
          <w:szCs w:val="22"/>
        </w:rPr>
        <w:t xml:space="preserve"> a mode of transportation, such as driving (D), transit (T), walking (W), biking (B), and freight (F).</w:t>
      </w:r>
      <w:r>
        <w:rPr>
          <w:szCs w:val="22"/>
        </w:rPr>
        <w:t xml:space="preserve"> </w:t>
      </w:r>
      <w:r w:rsidRPr="0087313D">
        <w:t xml:space="preserve">Table </w:t>
      </w:r>
      <w:r>
        <w:t>below s</w:t>
      </w:r>
      <w:r>
        <w:t xml:space="preserve">hows the unique code for each performance measure along with the associated transportation mode. </w:t>
      </w:r>
    </w:p>
    <w:p w:rsidR="00D927CF" w:rsidRDefault="001112E5">
      <w:pPr>
        <w:rPr>
          <w:rFonts w:ascii="Arial Black" w:eastAsia="Times New Roman" w:hAnsi="Arial Black" w:cs="Times New Roman"/>
          <w:sz w:val="24"/>
          <w:szCs w:val="20"/>
        </w:rPr>
      </w:pPr>
      <w:r>
        <w:rPr>
          <w:noProof/>
        </w:rPr>
        <w:lastRenderedPageBreak/>
        <w:drawing>
          <wp:inline distT="0" distB="0" distL="0" distR="0" wp14:anchorId="152719A0" wp14:editId="180EC4A0">
            <wp:extent cx="5295900" cy="47425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9392" cy="4745673"/>
                    </a:xfrm>
                    <a:prstGeom prst="rect">
                      <a:avLst/>
                    </a:prstGeom>
                  </pic:spPr>
                </pic:pic>
              </a:graphicData>
            </a:graphic>
          </wp:inline>
        </w:drawing>
      </w:r>
      <w:r w:rsidR="00D927CF">
        <w:br w:type="page"/>
      </w:r>
    </w:p>
    <w:p w:rsidR="00D927CF" w:rsidRDefault="00D927CF" w:rsidP="00D927CF">
      <w:pPr>
        <w:pStyle w:val="H1"/>
        <w:rPr>
          <w:color w:val="auto"/>
        </w:rPr>
      </w:pPr>
      <w:r>
        <w:rPr>
          <w:color w:val="auto"/>
        </w:rPr>
        <w:lastRenderedPageBreak/>
        <w:t>Summary of Performance</w:t>
      </w:r>
      <w:bookmarkEnd w:id="0"/>
      <w:r>
        <w:rPr>
          <w:color w:val="auto"/>
        </w:rPr>
        <w:t xml:space="preserve"> Measure Evaluation of the Montana Ave. Corridor </w:t>
      </w:r>
    </w:p>
    <w:p w:rsidR="00D927CF" w:rsidRPr="00096E20" w:rsidRDefault="00663918" w:rsidP="00D927CF">
      <w:pPr>
        <w:pStyle w:val="TX"/>
        <w:rPr>
          <w:szCs w:val="22"/>
        </w:rPr>
      </w:pPr>
      <w:r>
        <w:rPr>
          <w:szCs w:val="22"/>
        </w:rPr>
        <w:t>Below is summarized</w:t>
      </w:r>
      <w:bookmarkStart w:id="1" w:name="_GoBack"/>
      <w:bookmarkEnd w:id="1"/>
      <w:r w:rsidR="00D927CF">
        <w:rPr>
          <w:szCs w:val="22"/>
        </w:rPr>
        <w:t xml:space="preserve"> the </w:t>
      </w:r>
      <w:r w:rsidR="00D927CF" w:rsidRPr="00096E20">
        <w:rPr>
          <w:szCs w:val="22"/>
        </w:rPr>
        <w:t xml:space="preserve">performance </w:t>
      </w:r>
      <w:r w:rsidR="00D927CF">
        <w:rPr>
          <w:szCs w:val="22"/>
        </w:rPr>
        <w:t>measure evaluation conducted</w:t>
      </w:r>
      <w:r w:rsidR="00D927CF" w:rsidRPr="00096E20">
        <w:rPr>
          <w:szCs w:val="22"/>
        </w:rPr>
        <w:t xml:space="preserve"> in each of the seven section</w:t>
      </w:r>
      <w:r w:rsidR="00D927CF">
        <w:rPr>
          <w:szCs w:val="22"/>
        </w:rPr>
        <w:t>s</w:t>
      </w:r>
      <w:r w:rsidR="00D927CF" w:rsidRPr="00096E20">
        <w:rPr>
          <w:szCs w:val="22"/>
        </w:rPr>
        <w:t xml:space="preserve"> of the Montana Ave. Corridor. The section location, activity centers, employment, and population is described along with the performance measure results across four planning scales (within community, community to community, community to region, region to region). Performance measures discussed below were calculated based on publicly available information from U.S. Census Bureau, National Performance Management Research Data Set (NPMRDS), and </w:t>
      </w:r>
      <w:proofErr w:type="spellStart"/>
      <w:r w:rsidR="00D927CF" w:rsidRPr="00096E20">
        <w:rPr>
          <w:szCs w:val="22"/>
        </w:rPr>
        <w:t>TxDOT</w:t>
      </w:r>
      <w:proofErr w:type="spellEnd"/>
      <w:r w:rsidR="00D927CF" w:rsidRPr="00096E20">
        <w:rPr>
          <w:szCs w:val="22"/>
        </w:rPr>
        <w:t>. Other data sources included the Travel Demand Model (TDM) of the El Paso MPO, inventory data from the City of El Paso, and inventory data from</w:t>
      </w:r>
      <w:r w:rsidR="00D927CF">
        <w:rPr>
          <w:szCs w:val="22"/>
        </w:rPr>
        <w:t xml:space="preserve"> the local transit provider</w:t>
      </w:r>
      <w:r w:rsidR="00D927CF" w:rsidRPr="00096E20">
        <w:rPr>
          <w:szCs w:val="22"/>
        </w:rPr>
        <w:t xml:space="preserve"> </w:t>
      </w:r>
      <w:r w:rsidR="00D927CF">
        <w:rPr>
          <w:szCs w:val="22"/>
        </w:rPr>
        <w:t>Sun Metro</w:t>
      </w:r>
      <w:r w:rsidR="00D927CF" w:rsidRPr="00096E20">
        <w:rPr>
          <w:szCs w:val="22"/>
        </w:rPr>
        <w:t>.</w:t>
      </w:r>
    </w:p>
    <w:p w:rsidR="00D927CF" w:rsidRPr="00F84190" w:rsidRDefault="00D927CF" w:rsidP="00D927CF">
      <w:pPr>
        <w:spacing w:before="240" w:after="60"/>
        <w:ind w:firstLine="144"/>
        <w:rPr>
          <w:rFonts w:cs="Times New Roman"/>
          <w:i/>
        </w:rPr>
      </w:pPr>
      <w:r w:rsidRPr="00F84190">
        <w:rPr>
          <w:rFonts w:cs="Times New Roman"/>
          <w:i/>
        </w:rPr>
        <w:t>Section 1</w:t>
      </w:r>
    </w:p>
    <w:p w:rsidR="00D927CF" w:rsidRPr="00F84190" w:rsidRDefault="00D927CF" w:rsidP="00D927CF">
      <w:pPr>
        <w:spacing w:after="60"/>
        <w:ind w:firstLine="144"/>
        <w:rPr>
          <w:rFonts w:cs="Times New Roman"/>
        </w:rPr>
      </w:pPr>
      <w:r>
        <w:rPr>
          <w:rFonts w:cs="Times New Roman"/>
        </w:rPr>
        <w:t>Section 1 is t</w:t>
      </w:r>
      <w:r w:rsidRPr="00F84190">
        <w:rPr>
          <w:rFonts w:cs="Times New Roman"/>
        </w:rPr>
        <w:t xml:space="preserve">he west most section of the </w:t>
      </w:r>
      <w:r>
        <w:rPr>
          <w:rFonts w:cs="Times New Roman"/>
        </w:rPr>
        <w:t>corridor and</w:t>
      </w:r>
      <w:r w:rsidRPr="00F84190">
        <w:rPr>
          <w:rFonts w:cs="Times New Roman"/>
        </w:rPr>
        <w:t xml:space="preserve"> </w:t>
      </w:r>
      <w:r>
        <w:rPr>
          <w:rFonts w:cs="Times New Roman"/>
        </w:rPr>
        <w:t>stretches across</w:t>
      </w:r>
      <w:r w:rsidRPr="00F84190">
        <w:rPr>
          <w:rFonts w:cs="Times New Roman"/>
        </w:rPr>
        <w:t xml:space="preserve"> 2.5 miles of Montana Ave. between N </w:t>
      </w:r>
      <w:proofErr w:type="spellStart"/>
      <w:r w:rsidRPr="00F84190">
        <w:rPr>
          <w:rFonts w:cs="Times New Roman"/>
        </w:rPr>
        <w:t>Piedras</w:t>
      </w:r>
      <w:proofErr w:type="spellEnd"/>
      <w:r w:rsidRPr="00F84190">
        <w:rPr>
          <w:rFonts w:cs="Times New Roman"/>
        </w:rPr>
        <w:t xml:space="preserve"> St. and E </w:t>
      </w:r>
      <w:proofErr w:type="spellStart"/>
      <w:r w:rsidRPr="00F84190">
        <w:rPr>
          <w:rFonts w:cs="Times New Roman"/>
        </w:rPr>
        <w:t>Paisano</w:t>
      </w:r>
      <w:proofErr w:type="spellEnd"/>
      <w:r w:rsidRPr="00F84190">
        <w:rPr>
          <w:rFonts w:cs="Times New Roman"/>
        </w:rPr>
        <w:t xml:space="preserve"> Dr. </w:t>
      </w:r>
      <w:r>
        <w:rPr>
          <w:rFonts w:cs="Times New Roman"/>
        </w:rPr>
        <w:t>There are more than 20 schools and</w:t>
      </w:r>
      <w:r w:rsidRPr="00F84190">
        <w:rPr>
          <w:rFonts w:cs="Times New Roman"/>
        </w:rPr>
        <w:t xml:space="preserve"> 17 healthcare facilities. Majority of retail and services is concentrated along Montana Ave., as well as Alameda Ave. south of Montana Ave., and N </w:t>
      </w:r>
      <w:proofErr w:type="spellStart"/>
      <w:r w:rsidRPr="00F84190">
        <w:rPr>
          <w:rFonts w:cs="Times New Roman"/>
        </w:rPr>
        <w:t>Piedras</w:t>
      </w:r>
      <w:proofErr w:type="spellEnd"/>
      <w:r w:rsidRPr="00F84190">
        <w:rPr>
          <w:rFonts w:cs="Times New Roman"/>
        </w:rPr>
        <w:t xml:space="preserve"> St. running from north to south</w:t>
      </w:r>
      <w:r>
        <w:rPr>
          <w:rFonts w:cs="Times New Roman"/>
        </w:rPr>
        <w:t>, serving to 30,000 residents who live in this section</w:t>
      </w:r>
      <w:r w:rsidRPr="00F84190">
        <w:rPr>
          <w:rFonts w:cs="Times New Roman"/>
        </w:rPr>
        <w:t>.</w:t>
      </w:r>
      <w:r>
        <w:rPr>
          <w:rFonts w:cs="Times New Roman"/>
        </w:rPr>
        <w:t xml:space="preserve"> </w:t>
      </w:r>
      <w:r w:rsidRPr="00F84190">
        <w:rPr>
          <w:rFonts w:cs="Times New Roman"/>
        </w:rPr>
        <w:t>Many high-density employment areas are located along I-10</w:t>
      </w:r>
      <w:r>
        <w:rPr>
          <w:rFonts w:cs="Times New Roman"/>
        </w:rPr>
        <w:t>, although t</w:t>
      </w:r>
      <w:r w:rsidRPr="00F84190">
        <w:rPr>
          <w:rFonts w:cs="Times New Roman"/>
        </w:rPr>
        <w:t>his section has more inhabitants (9 per acre) than jobs (4 per acre).</w:t>
      </w:r>
    </w:p>
    <w:p w:rsidR="00D927CF" w:rsidRPr="00F84190" w:rsidRDefault="00D927CF" w:rsidP="00D927CF">
      <w:pPr>
        <w:spacing w:after="60"/>
        <w:ind w:firstLine="144"/>
        <w:rPr>
          <w:rFonts w:cs="Times New Roman"/>
        </w:rPr>
      </w:pPr>
      <w:r w:rsidRPr="00F84190">
        <w:rPr>
          <w:rFonts w:cs="Times New Roman"/>
          <w:b/>
        </w:rPr>
        <w:t xml:space="preserve"> “Within Community” </w:t>
      </w:r>
      <w:r>
        <w:rPr>
          <w:rFonts w:cs="Times New Roman"/>
          <w:b/>
        </w:rPr>
        <w:t>Performance Evaluation</w:t>
      </w:r>
      <w:r w:rsidRPr="00F84190">
        <w:rPr>
          <w:rFonts w:cs="Times New Roman"/>
          <w:b/>
        </w:rPr>
        <w:t>:</w:t>
      </w:r>
      <w:r w:rsidRPr="00F84190">
        <w:rPr>
          <w:rFonts w:cs="Times New Roman"/>
        </w:rPr>
        <w:t xml:space="preserve"> </w:t>
      </w:r>
      <w:r>
        <w:rPr>
          <w:rFonts w:cs="Times New Roman"/>
        </w:rPr>
        <w:t>Almost 1 in every 5 households (</w:t>
      </w:r>
      <w:r w:rsidRPr="00F84190">
        <w:rPr>
          <w:rFonts w:cs="Times New Roman"/>
        </w:rPr>
        <w:t>18%</w:t>
      </w:r>
      <w:r>
        <w:rPr>
          <w:rFonts w:cs="Times New Roman"/>
        </w:rPr>
        <w:t>)</w:t>
      </w:r>
      <w:r w:rsidRPr="00F84190">
        <w:rPr>
          <w:rFonts w:cs="Times New Roman"/>
        </w:rPr>
        <w:t xml:space="preserve"> do</w:t>
      </w:r>
      <w:r>
        <w:rPr>
          <w:rFonts w:cs="Times New Roman"/>
        </w:rPr>
        <w:t>es not own a car. Potentially transportation disadvantaged populations in this section include m</w:t>
      </w:r>
      <w:r w:rsidRPr="00F84190">
        <w:rPr>
          <w:rFonts w:cs="Times New Roman"/>
        </w:rPr>
        <w:t xml:space="preserve">ore than 8,800 </w:t>
      </w:r>
      <w:r>
        <w:rPr>
          <w:rFonts w:cs="Times New Roman"/>
        </w:rPr>
        <w:t>residents</w:t>
      </w:r>
      <w:r w:rsidRPr="00F84190">
        <w:rPr>
          <w:rFonts w:cs="Times New Roman"/>
        </w:rPr>
        <w:t xml:space="preserve"> liv</w:t>
      </w:r>
      <w:r>
        <w:rPr>
          <w:rFonts w:cs="Times New Roman"/>
        </w:rPr>
        <w:t>ing</w:t>
      </w:r>
      <w:r w:rsidRPr="00F84190">
        <w:rPr>
          <w:rFonts w:cs="Times New Roman"/>
        </w:rPr>
        <w:t xml:space="preserve"> </w:t>
      </w:r>
      <w:r>
        <w:rPr>
          <w:rFonts w:cs="Times New Roman"/>
        </w:rPr>
        <w:t>in poverty</w:t>
      </w:r>
      <w:r w:rsidRPr="00F84190">
        <w:rPr>
          <w:rFonts w:cs="Times New Roman"/>
        </w:rPr>
        <w:t xml:space="preserve">, more than 800 </w:t>
      </w:r>
      <w:r>
        <w:rPr>
          <w:rFonts w:cs="Times New Roman"/>
        </w:rPr>
        <w:t xml:space="preserve">residents </w:t>
      </w:r>
      <w:r w:rsidRPr="00F84190">
        <w:rPr>
          <w:rFonts w:cs="Times New Roman"/>
        </w:rPr>
        <w:t>are minority (non-Hispanic)</w:t>
      </w:r>
      <w:r>
        <w:rPr>
          <w:rFonts w:cs="Times New Roman"/>
        </w:rPr>
        <w:t>,</w:t>
      </w:r>
      <w:r w:rsidRPr="00F84190">
        <w:rPr>
          <w:rFonts w:cs="Times New Roman"/>
        </w:rPr>
        <w:t xml:space="preserve"> </w:t>
      </w:r>
      <w:r>
        <w:rPr>
          <w:rFonts w:cs="Times New Roman"/>
        </w:rPr>
        <w:t xml:space="preserve">and </w:t>
      </w:r>
      <w:r w:rsidRPr="00F84190">
        <w:rPr>
          <w:rFonts w:cs="Times New Roman"/>
        </w:rPr>
        <w:t xml:space="preserve">more than 5,800 </w:t>
      </w:r>
      <w:r>
        <w:rPr>
          <w:rFonts w:cs="Times New Roman"/>
        </w:rPr>
        <w:t xml:space="preserve">residents </w:t>
      </w:r>
      <w:r w:rsidRPr="00F84190">
        <w:rPr>
          <w:rFonts w:cs="Times New Roman"/>
        </w:rPr>
        <w:t xml:space="preserve">are older than 65 years. </w:t>
      </w:r>
      <w:r>
        <w:rPr>
          <w:rFonts w:cs="Times New Roman"/>
        </w:rPr>
        <w:t>Additionally, there are m</w:t>
      </w:r>
      <w:r w:rsidRPr="00F84190">
        <w:rPr>
          <w:rFonts w:cs="Times New Roman"/>
        </w:rPr>
        <w:t xml:space="preserve">ore than 3,000 of single-parent households and more than 3,500 households with limited English proficiency. </w:t>
      </w:r>
      <w:r>
        <w:rPr>
          <w:rFonts w:cs="Times New Roman"/>
        </w:rPr>
        <w:t>About 1 in 10 residents (</w:t>
      </w:r>
      <w:r w:rsidRPr="00F84190">
        <w:rPr>
          <w:rFonts w:cs="Times New Roman"/>
        </w:rPr>
        <w:t>9%</w:t>
      </w:r>
      <w:r>
        <w:rPr>
          <w:rFonts w:cs="Times New Roman"/>
        </w:rPr>
        <w:t>)</w:t>
      </w:r>
      <w:r w:rsidRPr="00F84190">
        <w:rPr>
          <w:rFonts w:cs="Times New Roman"/>
        </w:rPr>
        <w:t xml:space="preserve"> live</w:t>
      </w:r>
      <w:r>
        <w:rPr>
          <w:rFonts w:cs="Times New Roman"/>
        </w:rPr>
        <w:t>s</w:t>
      </w:r>
      <w:r w:rsidRPr="00F84190">
        <w:rPr>
          <w:rFonts w:cs="Times New Roman"/>
        </w:rPr>
        <w:t xml:space="preserve"> within</w:t>
      </w:r>
      <w:r>
        <w:rPr>
          <w:rFonts w:cs="Times New Roman"/>
        </w:rPr>
        <w:t xml:space="preserve"> a</w:t>
      </w:r>
      <w:r w:rsidRPr="00F84190">
        <w:rPr>
          <w:rFonts w:cs="Times New Roman"/>
        </w:rPr>
        <w:t xml:space="preserve"> </w:t>
      </w:r>
      <w:r>
        <w:rPr>
          <w:rFonts w:cs="Times New Roman"/>
        </w:rPr>
        <w:t>½ mile of high frequency transit, which is together with Section 2 the highest observed percentage</w:t>
      </w:r>
      <w:r w:rsidRPr="00F84190">
        <w:rPr>
          <w:rFonts w:cs="Times New Roman"/>
        </w:rPr>
        <w:t>.</w:t>
      </w:r>
      <w:r>
        <w:rPr>
          <w:rFonts w:cs="Times New Roman"/>
        </w:rPr>
        <w:t xml:space="preserve"> The m</w:t>
      </w:r>
      <w:r w:rsidRPr="00F84190">
        <w:rPr>
          <w:rFonts w:cs="Times New Roman"/>
        </w:rPr>
        <w:t xml:space="preserve">ajority </w:t>
      </w:r>
      <w:r>
        <w:rPr>
          <w:rFonts w:cs="Times New Roman"/>
        </w:rPr>
        <w:t xml:space="preserve">of </w:t>
      </w:r>
      <w:r w:rsidRPr="00F84190">
        <w:rPr>
          <w:rFonts w:cs="Times New Roman"/>
        </w:rPr>
        <w:t>bus stops (70%) located at high-volume roads do not have a marked crosswalk</w:t>
      </w:r>
      <w:r>
        <w:rPr>
          <w:rFonts w:cs="Times New Roman"/>
        </w:rPr>
        <w:t>, which can cause safety concerns and discourage transit users</w:t>
      </w:r>
      <w:r w:rsidRPr="00F84190">
        <w:rPr>
          <w:rFonts w:cs="Times New Roman"/>
        </w:rPr>
        <w:t xml:space="preserve">. None of the 44 miles of bikeways suggested in the 2016 El Paso Bike Plan have been built. </w:t>
      </w:r>
      <w:r>
        <w:rPr>
          <w:rFonts w:cs="Times New Roman"/>
        </w:rPr>
        <w:t xml:space="preserve">Approximately </w:t>
      </w:r>
      <w:r w:rsidRPr="00F84190">
        <w:rPr>
          <w:rFonts w:cs="Times New Roman"/>
        </w:rPr>
        <w:t xml:space="preserve">1% of </w:t>
      </w:r>
      <w:r>
        <w:rPr>
          <w:rFonts w:cs="Times New Roman"/>
        </w:rPr>
        <w:t>residents</w:t>
      </w:r>
      <w:r w:rsidRPr="00F84190">
        <w:rPr>
          <w:rFonts w:cs="Times New Roman"/>
        </w:rPr>
        <w:t xml:space="preserve"> live within a </w:t>
      </w:r>
      <w:r>
        <w:rPr>
          <w:rFonts w:cs="Times New Roman"/>
        </w:rPr>
        <w:t xml:space="preserve">½ mile from an </w:t>
      </w:r>
      <w:r w:rsidRPr="00F84190">
        <w:rPr>
          <w:rFonts w:cs="Times New Roman"/>
        </w:rPr>
        <w:t>existing bikeway (</w:t>
      </w:r>
      <w:r>
        <w:rPr>
          <w:rFonts w:cs="Times New Roman"/>
        </w:rPr>
        <w:t xml:space="preserve">nearest is located in </w:t>
      </w:r>
      <w:r w:rsidRPr="00F84190">
        <w:rPr>
          <w:rFonts w:cs="Times New Roman"/>
        </w:rPr>
        <w:t>Section 2). Bicycle parking at transit stops is available only at the Five Points Transfer Center.</w:t>
      </w:r>
    </w:p>
    <w:p w:rsidR="00D927CF" w:rsidRPr="00F84190" w:rsidRDefault="00D927CF" w:rsidP="00D927CF">
      <w:pPr>
        <w:spacing w:after="60"/>
        <w:ind w:firstLine="144"/>
        <w:rPr>
          <w:rFonts w:cs="Times New Roman"/>
        </w:rPr>
      </w:pPr>
      <w:r w:rsidRPr="00F84190">
        <w:rPr>
          <w:rFonts w:cs="Times New Roman"/>
          <w:b/>
        </w:rPr>
        <w:t xml:space="preserve"> “Community to Community” </w:t>
      </w:r>
      <w:r>
        <w:rPr>
          <w:rFonts w:cs="Times New Roman"/>
          <w:b/>
        </w:rPr>
        <w:t>Performance Evaluation</w:t>
      </w:r>
      <w:r w:rsidRPr="00F84190">
        <w:rPr>
          <w:rFonts w:cs="Times New Roman"/>
          <w:b/>
        </w:rPr>
        <w:t>:</w:t>
      </w:r>
      <w:r>
        <w:rPr>
          <w:rFonts w:cs="Times New Roman"/>
        </w:rPr>
        <w:t xml:space="preserve"> This section has the h</w:t>
      </w:r>
      <w:r w:rsidRPr="00F84190">
        <w:rPr>
          <w:rFonts w:cs="Times New Roman"/>
        </w:rPr>
        <w:t xml:space="preserve">ighest roadway density (27 miles per square mile of land) and </w:t>
      </w:r>
      <w:r>
        <w:rPr>
          <w:rFonts w:cs="Times New Roman"/>
        </w:rPr>
        <w:t xml:space="preserve">the </w:t>
      </w:r>
      <w:r w:rsidRPr="00F84190">
        <w:rPr>
          <w:rFonts w:cs="Times New Roman"/>
        </w:rPr>
        <w:t>highest density of sidewalks (17 miles per square mile of land). Jobs-Housing balance ratio</w:t>
      </w:r>
      <w:r>
        <w:rPr>
          <w:rFonts w:cs="Times New Roman"/>
        </w:rPr>
        <w:t xml:space="preserve"> of this section is </w:t>
      </w:r>
      <w:r w:rsidRPr="00F84190">
        <w:rPr>
          <w:rFonts w:cs="Times New Roman"/>
        </w:rPr>
        <w:t>1.76</w:t>
      </w:r>
      <w:r>
        <w:rPr>
          <w:rFonts w:cs="Times New Roman"/>
        </w:rPr>
        <w:t xml:space="preserve">, which can be classified as </w:t>
      </w:r>
      <w:r w:rsidRPr="00F84190">
        <w:rPr>
          <w:rFonts w:cs="Times New Roman"/>
        </w:rPr>
        <w:t>job rich</w:t>
      </w:r>
      <w:r>
        <w:rPr>
          <w:rFonts w:cs="Times New Roman"/>
        </w:rPr>
        <w:t xml:space="preserve"> a</w:t>
      </w:r>
      <w:r w:rsidRPr="0035455F">
        <w:t xml:space="preserve">ccording to </w:t>
      </w:r>
      <w:r>
        <w:rPr>
          <w:rFonts w:eastAsia="Arial Unicode MS"/>
        </w:rPr>
        <w:t>DVRPC (</w:t>
      </w:r>
      <w:r w:rsidRPr="0035455F">
        <w:rPr>
          <w:rFonts w:eastAsia="Arial Unicode MS"/>
        </w:rPr>
        <w:t>2014)</w:t>
      </w:r>
      <w:r>
        <w:t xml:space="preserve"> that suggests that</w:t>
      </w:r>
      <w:r w:rsidRPr="0035455F">
        <w:t xml:space="preserve"> predominantly</w:t>
      </w:r>
      <w:r w:rsidRPr="008C335B">
        <w:t xml:space="preserve"> residential areas have ratio less than 1, while balanced housing and job opportunities are in areas with ratio between 1 and 1.29, and a ratio above 1.29 indicates an area with more employment than housing opportunities</w:t>
      </w:r>
      <w:r>
        <w:t xml:space="preserve">. </w:t>
      </w:r>
      <w:r w:rsidRPr="00F84190">
        <w:rPr>
          <w:rFonts w:cs="Times New Roman"/>
        </w:rPr>
        <w:t xml:space="preserve">No data regarding crashes was available from </w:t>
      </w:r>
      <w:proofErr w:type="spellStart"/>
      <w:r w:rsidRPr="00F84190">
        <w:rPr>
          <w:rFonts w:cs="Times New Roman"/>
        </w:rPr>
        <w:t>TxDOT</w:t>
      </w:r>
      <w:proofErr w:type="spellEnd"/>
      <w:r w:rsidRPr="00F84190">
        <w:rPr>
          <w:rFonts w:cs="Times New Roman"/>
        </w:rPr>
        <w:t xml:space="preserve">, because Montana Ave. between </w:t>
      </w:r>
      <w:proofErr w:type="spellStart"/>
      <w:r w:rsidRPr="00F84190">
        <w:rPr>
          <w:rFonts w:cs="Times New Roman"/>
        </w:rPr>
        <w:t>Piedras</w:t>
      </w:r>
      <w:proofErr w:type="spellEnd"/>
      <w:r>
        <w:rPr>
          <w:rFonts w:cs="Times New Roman"/>
        </w:rPr>
        <w:t xml:space="preserve"> St.</w:t>
      </w:r>
      <w:r w:rsidRPr="00F84190">
        <w:rPr>
          <w:rFonts w:cs="Times New Roman"/>
        </w:rPr>
        <w:t xml:space="preserve"> and </w:t>
      </w:r>
      <w:proofErr w:type="spellStart"/>
      <w:r w:rsidRPr="00F84190">
        <w:rPr>
          <w:rFonts w:cs="Times New Roman"/>
        </w:rPr>
        <w:t>Paisano</w:t>
      </w:r>
      <w:proofErr w:type="spellEnd"/>
      <w:r>
        <w:rPr>
          <w:rFonts w:cs="Times New Roman"/>
        </w:rPr>
        <w:t xml:space="preserve"> Dr.</w:t>
      </w:r>
      <w:r w:rsidRPr="00F84190">
        <w:rPr>
          <w:rFonts w:cs="Times New Roman"/>
        </w:rPr>
        <w:t xml:space="preserve"> is not a state highway. Traffic volume in this area produced daily 7,000 pounds of PM</w:t>
      </w:r>
      <w:r w:rsidRPr="00591CD7">
        <w:rPr>
          <w:rFonts w:cs="Times New Roman"/>
          <w:vertAlign w:val="subscript"/>
        </w:rPr>
        <w:t>10</w:t>
      </w:r>
      <w:r w:rsidRPr="00F84190">
        <w:rPr>
          <w:rFonts w:cs="Times New Roman"/>
        </w:rPr>
        <w:t xml:space="preserve"> per acre.</w:t>
      </w:r>
    </w:p>
    <w:p w:rsidR="00D927CF" w:rsidRPr="00F84190" w:rsidRDefault="00D927CF" w:rsidP="00D927CF">
      <w:pPr>
        <w:spacing w:after="60"/>
        <w:ind w:firstLine="144"/>
        <w:rPr>
          <w:rFonts w:cs="Times New Roman"/>
        </w:rPr>
      </w:pPr>
      <w:r w:rsidRPr="00F84190">
        <w:rPr>
          <w:rFonts w:cs="Times New Roman"/>
          <w:b/>
        </w:rPr>
        <w:t xml:space="preserve"> “Community to Region” </w:t>
      </w:r>
      <w:r>
        <w:rPr>
          <w:rFonts w:cs="Times New Roman"/>
          <w:b/>
        </w:rPr>
        <w:t>Performance Evaluation:</w:t>
      </w:r>
      <w:r>
        <w:rPr>
          <w:rFonts w:cs="Times New Roman"/>
        </w:rPr>
        <w:t xml:space="preserve"> </w:t>
      </w:r>
      <w:r w:rsidRPr="00F84190">
        <w:rPr>
          <w:rFonts w:cs="Times New Roman"/>
        </w:rPr>
        <w:t xml:space="preserve">Due to no existing bikeways in this section, the percentage of bus stops within 600 ft. </w:t>
      </w:r>
      <w:r>
        <w:rPr>
          <w:rFonts w:cs="Times New Roman"/>
        </w:rPr>
        <w:t xml:space="preserve">of bikeways </w:t>
      </w:r>
      <w:r w:rsidRPr="00F84190">
        <w:rPr>
          <w:rFonts w:cs="Times New Roman"/>
        </w:rPr>
        <w:t xml:space="preserve">is zero. The nearest park and ride lot is located outside of this section, at the Eastside Transfer Center. This section is served by </w:t>
      </w:r>
      <w:r>
        <w:rPr>
          <w:rFonts w:cs="Times New Roman"/>
        </w:rPr>
        <w:t>Sun Metro</w:t>
      </w:r>
      <w:r w:rsidRPr="00F84190">
        <w:rPr>
          <w:rFonts w:cs="Times New Roman"/>
        </w:rPr>
        <w:t xml:space="preserve"> route 21 (65-minute interval), route 22 (65-minute interval), route 25 (60-minute interval), route 30 (70-minute interval, daily ridership 60), route 32 (50-minute interval), route 33 (75-minute interval), route 34 (45-minute interval), route 35 (40-minute interval,  daily ridership 2,600), route 36 (55-minute interval), route 41 (70-minute interval), route 50 (40-minute interval, daily ridership 2,000), route 55 (65-minute </w:t>
      </w:r>
      <w:r w:rsidRPr="00F84190">
        <w:rPr>
          <w:rFonts w:cs="Times New Roman"/>
        </w:rPr>
        <w:lastRenderedPageBreak/>
        <w:t xml:space="preserve">interval), route 59 (15-minute interval, daily ridership 3,100), route 61 (50-minute interval, daily ridership 1,200), route 62 (60-minute interval), and route 66 (55-minute interval, daily ridership 1,000). </w:t>
      </w:r>
      <w:r>
        <w:rPr>
          <w:rFonts w:cs="Times New Roman"/>
        </w:rPr>
        <w:t xml:space="preserve">About </w:t>
      </w:r>
      <w:r w:rsidRPr="00F84190">
        <w:rPr>
          <w:rFonts w:cs="Times New Roman"/>
        </w:rPr>
        <w:t xml:space="preserve">6% of workers commute by transit, 4% walk, 0.3% bike. Travel time index and crash data </w:t>
      </w:r>
      <w:r>
        <w:rPr>
          <w:rFonts w:cs="Times New Roman"/>
        </w:rPr>
        <w:t>is</w:t>
      </w:r>
      <w:r w:rsidRPr="00F84190">
        <w:rPr>
          <w:rFonts w:cs="Times New Roman"/>
        </w:rPr>
        <w:t xml:space="preserve"> not available because this section is not a state highway.</w:t>
      </w:r>
    </w:p>
    <w:p w:rsidR="00D927CF" w:rsidRPr="00F84190" w:rsidRDefault="00D927CF" w:rsidP="00D927CF">
      <w:pPr>
        <w:spacing w:after="60"/>
        <w:ind w:firstLine="144"/>
        <w:rPr>
          <w:rFonts w:cs="Times New Roman"/>
        </w:rPr>
      </w:pPr>
      <w:r w:rsidRPr="00F84190">
        <w:rPr>
          <w:rFonts w:cs="Times New Roman"/>
          <w:b/>
        </w:rPr>
        <w:t xml:space="preserve"> “Region to Region” </w:t>
      </w:r>
      <w:r>
        <w:rPr>
          <w:rFonts w:cs="Times New Roman"/>
          <w:b/>
        </w:rPr>
        <w:t>Performance Evaluation</w:t>
      </w:r>
      <w:r w:rsidRPr="00F84190">
        <w:rPr>
          <w:rFonts w:cs="Times New Roman"/>
          <w:b/>
        </w:rPr>
        <w:t>:</w:t>
      </w:r>
      <w:r>
        <w:rPr>
          <w:rFonts w:cs="Times New Roman"/>
        </w:rPr>
        <w:t xml:space="preserve"> </w:t>
      </w:r>
      <w:r w:rsidRPr="00F84190">
        <w:rPr>
          <w:rFonts w:cs="Times New Roman"/>
        </w:rPr>
        <w:t xml:space="preserve">According to FHWA Highway Performance Management System, 19 miles of pavements are in poor condition. Truck travel time index </w:t>
      </w:r>
      <w:r>
        <w:rPr>
          <w:rFonts w:cs="Times New Roman"/>
        </w:rPr>
        <w:t>is</w:t>
      </w:r>
      <w:r w:rsidRPr="00F84190">
        <w:rPr>
          <w:rFonts w:cs="Times New Roman"/>
        </w:rPr>
        <w:t xml:space="preserve"> not available because this section is not a state highway.</w:t>
      </w:r>
    </w:p>
    <w:p w:rsidR="00D927CF" w:rsidRPr="00F84190" w:rsidRDefault="00D927CF" w:rsidP="00D927CF">
      <w:pPr>
        <w:spacing w:before="240" w:after="60"/>
        <w:ind w:firstLine="144"/>
        <w:rPr>
          <w:rFonts w:cs="Times New Roman"/>
          <w:i/>
        </w:rPr>
      </w:pPr>
      <w:r w:rsidRPr="00F84190">
        <w:rPr>
          <w:rFonts w:cs="Times New Roman"/>
          <w:i/>
        </w:rPr>
        <w:t>Section 2</w:t>
      </w:r>
    </w:p>
    <w:p w:rsidR="00D927CF" w:rsidRPr="00F84190" w:rsidRDefault="00D927CF" w:rsidP="00D927CF">
      <w:pPr>
        <w:spacing w:after="60"/>
        <w:ind w:firstLine="144"/>
        <w:rPr>
          <w:rFonts w:cs="Times New Roman"/>
        </w:rPr>
      </w:pPr>
      <w:r w:rsidRPr="005772F5">
        <w:rPr>
          <w:rFonts w:cs="Times New Roman"/>
        </w:rPr>
        <w:t>Section 2 covers a 3-mile</w:t>
      </w:r>
      <w:r w:rsidRPr="00F84190">
        <w:rPr>
          <w:rFonts w:cs="Times New Roman"/>
        </w:rPr>
        <w:t xml:space="preserve"> long section of Montana Av</w:t>
      </w:r>
      <w:r>
        <w:rPr>
          <w:rFonts w:cs="Times New Roman"/>
        </w:rPr>
        <w:t>e</w:t>
      </w:r>
      <w:r w:rsidRPr="00F84190">
        <w:rPr>
          <w:rFonts w:cs="Times New Roman"/>
        </w:rPr>
        <w:t xml:space="preserve">. between E </w:t>
      </w:r>
      <w:proofErr w:type="spellStart"/>
      <w:r w:rsidRPr="00F84190">
        <w:rPr>
          <w:rFonts w:cs="Times New Roman"/>
        </w:rPr>
        <w:t>Paisano</w:t>
      </w:r>
      <w:proofErr w:type="spellEnd"/>
      <w:r w:rsidRPr="00F84190">
        <w:rPr>
          <w:rFonts w:cs="Times New Roman"/>
        </w:rPr>
        <w:t xml:space="preserve"> Dr. and Hawkins Blvd.</w:t>
      </w:r>
      <w:r>
        <w:rPr>
          <w:rFonts w:cs="Times New Roman"/>
        </w:rPr>
        <w:t xml:space="preserve"> Activity centers include 1</w:t>
      </w:r>
      <w:r w:rsidRPr="00F84190">
        <w:rPr>
          <w:rFonts w:cs="Times New Roman"/>
        </w:rPr>
        <w:t xml:space="preserve">8 schools, 18 healthcare facilities, </w:t>
      </w:r>
      <w:r>
        <w:rPr>
          <w:rFonts w:cs="Times New Roman"/>
        </w:rPr>
        <w:t xml:space="preserve">and a </w:t>
      </w:r>
      <w:r w:rsidRPr="00F84190">
        <w:rPr>
          <w:rFonts w:cs="Times New Roman"/>
        </w:rPr>
        <w:t>major retail center Bassett Place</w:t>
      </w:r>
      <w:r>
        <w:rPr>
          <w:rFonts w:cs="Times New Roman"/>
        </w:rPr>
        <w:t>, serving 17,000 residents</w:t>
      </w:r>
      <w:r w:rsidRPr="00F84190">
        <w:rPr>
          <w:rFonts w:cs="Times New Roman"/>
        </w:rPr>
        <w:t>. Many high-density employment areas are located alon</w:t>
      </w:r>
      <w:r>
        <w:rPr>
          <w:rFonts w:cs="Times New Roman"/>
        </w:rPr>
        <w:t xml:space="preserve">g I-10 and the El Paso Airport, which results in </w:t>
      </w:r>
      <w:r w:rsidRPr="00F84190">
        <w:rPr>
          <w:rFonts w:cs="Times New Roman"/>
        </w:rPr>
        <w:t>more jobs (8 jobs per acre) than popu</w:t>
      </w:r>
      <w:r>
        <w:rPr>
          <w:rFonts w:cs="Times New Roman"/>
        </w:rPr>
        <w:t>lation (7 inhabitants per acre).</w:t>
      </w:r>
    </w:p>
    <w:p w:rsidR="00D927CF" w:rsidRPr="00F84190" w:rsidRDefault="00D927CF" w:rsidP="00D927CF">
      <w:pPr>
        <w:spacing w:after="60"/>
        <w:ind w:firstLine="144"/>
        <w:rPr>
          <w:rFonts w:cs="Times New Roman"/>
        </w:rPr>
      </w:pPr>
      <w:r>
        <w:rPr>
          <w:rFonts w:cs="Times New Roman"/>
          <w:b/>
        </w:rPr>
        <w:t xml:space="preserve"> “Within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About 1 in every 10 households (</w:t>
      </w:r>
      <w:r w:rsidRPr="00F84190">
        <w:rPr>
          <w:rFonts w:cs="Times New Roman"/>
        </w:rPr>
        <w:t>11%</w:t>
      </w:r>
      <w:r>
        <w:rPr>
          <w:rFonts w:cs="Times New Roman"/>
        </w:rPr>
        <w:t>)</w:t>
      </w:r>
      <w:r w:rsidRPr="00F84190">
        <w:rPr>
          <w:rFonts w:cs="Times New Roman"/>
        </w:rPr>
        <w:t xml:space="preserve"> </w:t>
      </w:r>
      <w:r>
        <w:rPr>
          <w:rFonts w:cs="Times New Roman"/>
        </w:rPr>
        <w:t>does not own a car. Potentially transportation disadvantaged populations in this section include m</w:t>
      </w:r>
      <w:r w:rsidRPr="00F84190">
        <w:rPr>
          <w:rFonts w:cs="Times New Roman"/>
        </w:rPr>
        <w:t xml:space="preserve">ore than 3,200 </w:t>
      </w:r>
      <w:r>
        <w:rPr>
          <w:rFonts w:cs="Times New Roman"/>
        </w:rPr>
        <w:t>residents</w:t>
      </w:r>
      <w:r w:rsidRPr="00F84190">
        <w:rPr>
          <w:rFonts w:cs="Times New Roman"/>
        </w:rPr>
        <w:t xml:space="preserve"> li</w:t>
      </w:r>
      <w:r>
        <w:rPr>
          <w:rFonts w:cs="Times New Roman"/>
        </w:rPr>
        <w:t>ving in poverty</w:t>
      </w:r>
      <w:r w:rsidRPr="00F84190">
        <w:rPr>
          <w:rFonts w:cs="Times New Roman"/>
        </w:rPr>
        <w:t>, more than 1,000</w:t>
      </w:r>
      <w:r>
        <w:rPr>
          <w:rFonts w:cs="Times New Roman"/>
        </w:rPr>
        <w:t xml:space="preserve"> residents</w:t>
      </w:r>
      <w:r w:rsidRPr="00F84190">
        <w:rPr>
          <w:rFonts w:cs="Times New Roman"/>
        </w:rPr>
        <w:t xml:space="preserve"> are minority (non-Hispanic), more than 3,000 </w:t>
      </w:r>
      <w:r>
        <w:rPr>
          <w:rFonts w:cs="Times New Roman"/>
        </w:rPr>
        <w:t xml:space="preserve">residents </w:t>
      </w:r>
      <w:r w:rsidRPr="00F84190">
        <w:rPr>
          <w:rFonts w:cs="Times New Roman"/>
        </w:rPr>
        <w:t xml:space="preserve">are older than 65 years. </w:t>
      </w:r>
      <w:r>
        <w:rPr>
          <w:rFonts w:cs="Times New Roman"/>
        </w:rPr>
        <w:t>Additionally, there are m</w:t>
      </w:r>
      <w:r w:rsidRPr="00F84190">
        <w:rPr>
          <w:rFonts w:cs="Times New Roman"/>
        </w:rPr>
        <w:t xml:space="preserve">ore than 1,500 of single-parent households and more than 1,100 households with limited English proficiency. </w:t>
      </w:r>
      <w:r>
        <w:rPr>
          <w:rFonts w:cs="Times New Roman"/>
        </w:rPr>
        <w:t>About 1 in 10 residents (</w:t>
      </w:r>
      <w:r w:rsidRPr="00F84190">
        <w:rPr>
          <w:rFonts w:cs="Times New Roman"/>
        </w:rPr>
        <w:t>12%</w:t>
      </w:r>
      <w:r>
        <w:rPr>
          <w:rFonts w:cs="Times New Roman"/>
        </w:rPr>
        <w:t>)</w:t>
      </w:r>
      <w:r w:rsidRPr="00F84190">
        <w:rPr>
          <w:rFonts w:cs="Times New Roman"/>
        </w:rPr>
        <w:t xml:space="preserve"> lives within </w:t>
      </w:r>
      <w:r>
        <w:rPr>
          <w:rFonts w:cs="Times New Roman"/>
        </w:rPr>
        <w:t xml:space="preserve">a ½ </w:t>
      </w:r>
      <w:r w:rsidRPr="00F84190">
        <w:rPr>
          <w:rFonts w:cs="Times New Roman"/>
        </w:rPr>
        <w:t>mile of high frequency tran</w:t>
      </w:r>
      <w:r>
        <w:rPr>
          <w:rFonts w:cs="Times New Roman"/>
        </w:rPr>
        <w:t>sit, which is together with Section 1 the highest observed percentage</w:t>
      </w:r>
      <w:r w:rsidRPr="00F84190">
        <w:rPr>
          <w:rFonts w:cs="Times New Roman"/>
        </w:rPr>
        <w:t xml:space="preserve">. Majority </w:t>
      </w:r>
      <w:r>
        <w:rPr>
          <w:rFonts w:cs="Times New Roman"/>
        </w:rPr>
        <w:t xml:space="preserve">of </w:t>
      </w:r>
      <w:r w:rsidRPr="00F84190">
        <w:rPr>
          <w:rFonts w:cs="Times New Roman"/>
        </w:rPr>
        <w:t>bus stops (88%) located at high-volume roads do not have a marked crosswalk</w:t>
      </w:r>
      <w:r>
        <w:rPr>
          <w:rFonts w:cs="Times New Roman"/>
        </w:rPr>
        <w:t>,</w:t>
      </w:r>
      <w:r w:rsidRPr="00A82FBA">
        <w:t xml:space="preserve"> </w:t>
      </w:r>
      <w:r w:rsidRPr="00A82FBA">
        <w:rPr>
          <w:rFonts w:cs="Times New Roman"/>
        </w:rPr>
        <w:t>which can cause safety concerns and discourage transit users</w:t>
      </w:r>
      <w:r w:rsidRPr="00F84190">
        <w:rPr>
          <w:rFonts w:cs="Times New Roman"/>
        </w:rPr>
        <w:t xml:space="preserve">. </w:t>
      </w:r>
      <w:r>
        <w:rPr>
          <w:rFonts w:cs="Times New Roman"/>
        </w:rPr>
        <w:t xml:space="preserve">Approximately </w:t>
      </w:r>
      <w:r w:rsidRPr="00F84190">
        <w:rPr>
          <w:rFonts w:cs="Times New Roman"/>
        </w:rPr>
        <w:t xml:space="preserve">3 miles of the 17 miles of bikeways suggested in the 2016 El Paso Bike Plan have been built. </w:t>
      </w:r>
      <w:r>
        <w:rPr>
          <w:rFonts w:cs="Times New Roman"/>
        </w:rPr>
        <w:t>More than half of the residents (</w:t>
      </w:r>
      <w:r w:rsidRPr="00F84190">
        <w:rPr>
          <w:rFonts w:cs="Times New Roman"/>
        </w:rPr>
        <w:t>62%</w:t>
      </w:r>
      <w:r>
        <w:rPr>
          <w:rFonts w:cs="Times New Roman"/>
        </w:rPr>
        <w:t>)</w:t>
      </w:r>
      <w:r w:rsidRPr="00F84190">
        <w:rPr>
          <w:rFonts w:cs="Times New Roman"/>
        </w:rPr>
        <w:t xml:space="preserve"> </w:t>
      </w:r>
      <w:r>
        <w:rPr>
          <w:rFonts w:cs="Times New Roman"/>
        </w:rPr>
        <w:t>live</w:t>
      </w:r>
      <w:r w:rsidRPr="00F84190">
        <w:rPr>
          <w:rFonts w:cs="Times New Roman"/>
        </w:rPr>
        <w:t xml:space="preserve"> within a half mile from an existing bikeway. Bicycle parking at transit stops is available only at the Eastside Transfer Center.</w:t>
      </w:r>
    </w:p>
    <w:p w:rsidR="00D927CF" w:rsidRPr="00F84190" w:rsidRDefault="00D927CF" w:rsidP="00D927CF">
      <w:pPr>
        <w:spacing w:after="60"/>
        <w:ind w:firstLine="144"/>
        <w:rPr>
          <w:rFonts w:cs="Times New Roman"/>
        </w:rPr>
      </w:pPr>
      <w:r>
        <w:rPr>
          <w:rFonts w:cs="Times New Roman"/>
          <w:b/>
        </w:rPr>
        <w:t>“Community to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This section has the s</w:t>
      </w:r>
      <w:r w:rsidRPr="00F84190">
        <w:rPr>
          <w:rFonts w:cs="Times New Roman"/>
        </w:rPr>
        <w:t xml:space="preserve">econd highest roadway density (17 miles per square mile of land) and </w:t>
      </w:r>
      <w:r>
        <w:rPr>
          <w:rFonts w:cs="Times New Roman"/>
        </w:rPr>
        <w:t xml:space="preserve">the </w:t>
      </w:r>
      <w:r w:rsidRPr="00F84190">
        <w:rPr>
          <w:rFonts w:cs="Times New Roman"/>
        </w:rPr>
        <w:t xml:space="preserve">second highest density of sidewalks (10 miles per square mile of land). Jobs-Housing balance ratio </w:t>
      </w:r>
      <w:r>
        <w:rPr>
          <w:rFonts w:cs="Times New Roman"/>
        </w:rPr>
        <w:t xml:space="preserve">in this section is 3.48, which classifies as </w:t>
      </w:r>
      <w:r w:rsidRPr="00F84190">
        <w:rPr>
          <w:rFonts w:cs="Times New Roman"/>
        </w:rPr>
        <w:t>job rich</w:t>
      </w:r>
      <w:r>
        <w:rPr>
          <w:rFonts w:cs="Times New Roman"/>
        </w:rPr>
        <w:t xml:space="preserve"> (</w:t>
      </w:r>
      <w:r>
        <w:rPr>
          <w:rFonts w:eastAsia="Arial Unicode MS"/>
        </w:rPr>
        <w:t>DVRPC, 2014</w:t>
      </w:r>
      <w:r>
        <w:rPr>
          <w:rFonts w:cs="Times New Roman"/>
        </w:rPr>
        <w:t>)</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was 1 crash that resulted in an incapacitating injury of a pedestrian or cyclist. Traffic volume in this area produced daily 7,000 pounds of PM</w:t>
      </w:r>
      <w:r w:rsidRPr="00591CD7">
        <w:rPr>
          <w:rFonts w:cs="Times New Roman"/>
          <w:vertAlign w:val="subscript"/>
        </w:rPr>
        <w:t>10</w:t>
      </w:r>
      <w:r w:rsidRPr="00F84190">
        <w:rPr>
          <w:rFonts w:cs="Times New Roman"/>
        </w:rPr>
        <w:t xml:space="preserve"> per acre.</w:t>
      </w:r>
    </w:p>
    <w:p w:rsidR="00D927CF" w:rsidRPr="00F84190" w:rsidRDefault="00D927CF" w:rsidP="00D927CF">
      <w:pPr>
        <w:spacing w:after="60"/>
        <w:ind w:firstLine="144"/>
        <w:rPr>
          <w:rFonts w:cs="Times New Roman"/>
        </w:rPr>
      </w:pPr>
      <w:r w:rsidRPr="00F84190">
        <w:rPr>
          <w:rFonts w:cs="Times New Roman"/>
          <w:b/>
        </w:rPr>
        <w:t xml:space="preserve"> </w:t>
      </w:r>
      <w:r>
        <w:rPr>
          <w:rFonts w:cs="Times New Roman"/>
          <w:b/>
        </w:rPr>
        <w:t>“Community to 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Nearly </w:t>
      </w:r>
      <w:r w:rsidRPr="00F84190">
        <w:rPr>
          <w:rFonts w:cs="Times New Roman"/>
        </w:rPr>
        <w:t xml:space="preserve">17% of bus stops are </w:t>
      </w:r>
      <w:r>
        <w:rPr>
          <w:rFonts w:cs="Times New Roman"/>
        </w:rPr>
        <w:t xml:space="preserve">located </w:t>
      </w:r>
      <w:r w:rsidRPr="00F84190">
        <w:rPr>
          <w:rFonts w:cs="Times New Roman"/>
        </w:rPr>
        <w:t xml:space="preserve">within 600 ft. of bikeways. The Eastside Transfer Center offers 103 parking spaces in its park and ride lot. This section is served by </w:t>
      </w:r>
      <w:r>
        <w:rPr>
          <w:rFonts w:cs="Times New Roman"/>
        </w:rPr>
        <w:t>Sun Metro</w:t>
      </w:r>
      <w:r w:rsidRPr="00F84190">
        <w:rPr>
          <w:rFonts w:cs="Times New Roman"/>
        </w:rPr>
        <w:t xml:space="preserve"> route 7 (55-minute interval, daily ridership 1,100), route 25 (60-minute interval), route 31 (90-minute interval, daily ridership 50), route 33 (45-minute interval), route 50 (40-minute interval, daily ridership 2,000), route 55 (65-minute interval), route 70 (30-minute interval in peak, 60-minute interval off-peak), route 75 (service 5 times a day, daily ridership 20), and route 90 (45-minute interval, only from 6 AM to 9 AM and from 4 PM to 6 PM). 4% of workers commute by transit, 6% walk, 0.1% bike. Travel time index for passenger vehicles </w:t>
      </w:r>
      <w:r>
        <w:rPr>
          <w:rFonts w:cs="Times New Roman"/>
        </w:rPr>
        <w:t>is</w:t>
      </w:r>
      <w:r w:rsidRPr="00F84190">
        <w:rPr>
          <w:rFonts w:cs="Times New Roman"/>
        </w:rPr>
        <w:t xml:space="preserve"> 1.9</w:t>
      </w:r>
      <w:r>
        <w:rPr>
          <w:rFonts w:cs="Times New Roman"/>
        </w:rPr>
        <w:t>, indicating that travelling during a peak hour can take almost twice as long compared to a free-flow travel</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was 1 fatal crash and 16 incapacitating crashes.</w:t>
      </w:r>
    </w:p>
    <w:p w:rsidR="00D927CF" w:rsidRPr="00F84190" w:rsidRDefault="00D927CF" w:rsidP="00D927CF">
      <w:pPr>
        <w:spacing w:after="60"/>
        <w:ind w:firstLine="144"/>
        <w:rPr>
          <w:rFonts w:cs="Times New Roman"/>
        </w:rPr>
      </w:pPr>
      <w:r>
        <w:rPr>
          <w:rFonts w:cs="Times New Roman"/>
          <w:b/>
        </w:rPr>
        <w:t xml:space="preserve"> “Region to 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According to FHWA Highway Performance Management System, 9 miles of pavements are in poor condition. Travel time index for trucks </w:t>
      </w:r>
      <w:r>
        <w:rPr>
          <w:rFonts w:cs="Times New Roman"/>
        </w:rPr>
        <w:t>is</w:t>
      </w:r>
      <w:r w:rsidRPr="00F84190">
        <w:rPr>
          <w:rFonts w:cs="Times New Roman"/>
        </w:rPr>
        <w:t xml:space="preserve"> 2.3</w:t>
      </w:r>
      <w:r>
        <w:rPr>
          <w:rFonts w:cs="Times New Roman"/>
        </w:rPr>
        <w:t>,</w:t>
      </w:r>
      <w:r w:rsidRPr="00852D75">
        <w:rPr>
          <w:rFonts w:cs="Times New Roman"/>
        </w:rPr>
        <w:t xml:space="preserve"> </w:t>
      </w:r>
      <w:r>
        <w:rPr>
          <w:rFonts w:cs="Times New Roman"/>
        </w:rPr>
        <w:t xml:space="preserve">indicating that a </w:t>
      </w:r>
      <w:r>
        <w:rPr>
          <w:rFonts w:cs="Times New Roman"/>
        </w:rPr>
        <w:lastRenderedPageBreak/>
        <w:t>10-minute trip can take up to 23 minutes during a peak hour (compared to a travel time index of 1.9 and 19 minutes for personal vehicles)</w:t>
      </w:r>
      <w:r w:rsidRPr="00F84190">
        <w:rPr>
          <w:rFonts w:cs="Times New Roman"/>
        </w:rPr>
        <w:t>.</w:t>
      </w:r>
    </w:p>
    <w:p w:rsidR="00D927CF" w:rsidRPr="00F84190" w:rsidRDefault="00D927CF" w:rsidP="00D927CF">
      <w:pPr>
        <w:spacing w:before="240" w:after="60"/>
        <w:ind w:firstLine="144"/>
        <w:rPr>
          <w:rFonts w:cs="Times New Roman"/>
          <w:i/>
        </w:rPr>
      </w:pPr>
      <w:r w:rsidRPr="00F84190">
        <w:rPr>
          <w:rFonts w:cs="Times New Roman"/>
          <w:i/>
        </w:rPr>
        <w:t>Section 3</w:t>
      </w:r>
    </w:p>
    <w:p w:rsidR="00D927CF" w:rsidRPr="00F84190" w:rsidRDefault="00D927CF" w:rsidP="00D927CF">
      <w:pPr>
        <w:spacing w:after="60"/>
        <w:ind w:firstLine="144"/>
        <w:rPr>
          <w:rFonts w:cs="Times New Roman"/>
        </w:rPr>
      </w:pPr>
      <w:r w:rsidRPr="005772F5">
        <w:rPr>
          <w:rFonts w:cs="Times New Roman"/>
        </w:rPr>
        <w:t>Section 3 looks at a 2.3</w:t>
      </w:r>
      <w:r w:rsidRPr="00F84190">
        <w:rPr>
          <w:rFonts w:cs="Times New Roman"/>
        </w:rPr>
        <w:t>-mile long section of Montana Av</w:t>
      </w:r>
      <w:r>
        <w:rPr>
          <w:rFonts w:cs="Times New Roman"/>
        </w:rPr>
        <w:t>e</w:t>
      </w:r>
      <w:r w:rsidRPr="00F84190">
        <w:rPr>
          <w:rFonts w:cs="Times New Roman"/>
        </w:rPr>
        <w:t>. between Hawkins Blvd. and N Yarbrough Dr.</w:t>
      </w:r>
      <w:r>
        <w:rPr>
          <w:rFonts w:cs="Times New Roman"/>
        </w:rPr>
        <w:t xml:space="preserve"> There are 11 schools and</w:t>
      </w:r>
      <w:r w:rsidRPr="00F84190">
        <w:rPr>
          <w:rFonts w:cs="Times New Roman"/>
        </w:rPr>
        <w:t xml:space="preserve"> 6 healthcare facilities</w:t>
      </w:r>
      <w:r>
        <w:rPr>
          <w:rFonts w:cs="Times New Roman"/>
        </w:rPr>
        <w:t>, serving to 13,000 residents</w:t>
      </w:r>
      <w:r w:rsidRPr="00F84190">
        <w:rPr>
          <w:rFonts w:cs="Times New Roman"/>
        </w:rPr>
        <w:t>.</w:t>
      </w:r>
      <w:r>
        <w:rPr>
          <w:rFonts w:cs="Times New Roman"/>
        </w:rPr>
        <w:t xml:space="preserve"> As this section is dominantly residential with a l</w:t>
      </w:r>
      <w:r w:rsidRPr="00F84190">
        <w:rPr>
          <w:rFonts w:cs="Times New Roman"/>
        </w:rPr>
        <w:t xml:space="preserve">ow density of employment, </w:t>
      </w:r>
      <w:r>
        <w:rPr>
          <w:rFonts w:cs="Times New Roman"/>
        </w:rPr>
        <w:t>there are</w:t>
      </w:r>
      <w:r w:rsidRPr="00F84190">
        <w:rPr>
          <w:rFonts w:cs="Times New Roman"/>
        </w:rPr>
        <w:t xml:space="preserve"> more inhabitants (9 per acre) than jobs (3 per acre).</w:t>
      </w:r>
    </w:p>
    <w:p w:rsidR="00D927CF" w:rsidRPr="00F84190" w:rsidRDefault="00D927CF" w:rsidP="00D927CF">
      <w:pPr>
        <w:spacing w:after="60"/>
        <w:ind w:firstLine="144"/>
        <w:rPr>
          <w:rFonts w:cs="Times New Roman"/>
        </w:rPr>
      </w:pPr>
      <w:r>
        <w:rPr>
          <w:rFonts w:cs="Times New Roman"/>
          <w:b/>
        </w:rPr>
        <w:t>Within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About 1 in every 10 households (</w:t>
      </w:r>
      <w:r w:rsidRPr="00F84190">
        <w:rPr>
          <w:rFonts w:cs="Times New Roman"/>
        </w:rPr>
        <w:t>10%</w:t>
      </w:r>
      <w:r>
        <w:rPr>
          <w:rFonts w:cs="Times New Roman"/>
        </w:rPr>
        <w:t>)</w:t>
      </w:r>
      <w:r w:rsidRPr="00F84190">
        <w:rPr>
          <w:rFonts w:cs="Times New Roman"/>
        </w:rPr>
        <w:t xml:space="preserve"> do</w:t>
      </w:r>
      <w:r>
        <w:rPr>
          <w:rFonts w:cs="Times New Roman"/>
        </w:rPr>
        <w:t xml:space="preserve">es not own a car. </w:t>
      </w:r>
      <w:r w:rsidRPr="00A82FBA">
        <w:rPr>
          <w:rFonts w:cs="Times New Roman"/>
        </w:rPr>
        <w:t xml:space="preserve">Potentially transportation disadvantaged populations in this section include more </w:t>
      </w:r>
      <w:r>
        <w:rPr>
          <w:rFonts w:cs="Times New Roman"/>
        </w:rPr>
        <w:t>than 2,400 residents living in poverty</w:t>
      </w:r>
      <w:r w:rsidRPr="00F84190">
        <w:rPr>
          <w:rFonts w:cs="Times New Roman"/>
        </w:rPr>
        <w:t xml:space="preserve">, more than 400 </w:t>
      </w:r>
      <w:r>
        <w:rPr>
          <w:rFonts w:cs="Times New Roman"/>
        </w:rPr>
        <w:t xml:space="preserve">residents </w:t>
      </w:r>
      <w:r w:rsidRPr="00F84190">
        <w:rPr>
          <w:rFonts w:cs="Times New Roman"/>
        </w:rPr>
        <w:t xml:space="preserve">are minority (non-Hispanic), more than 2,100 </w:t>
      </w:r>
      <w:r>
        <w:rPr>
          <w:rFonts w:cs="Times New Roman"/>
        </w:rPr>
        <w:t xml:space="preserve">residents </w:t>
      </w:r>
      <w:r w:rsidRPr="00F84190">
        <w:rPr>
          <w:rFonts w:cs="Times New Roman"/>
        </w:rPr>
        <w:t xml:space="preserve">are older than 65 years. </w:t>
      </w:r>
      <w:r>
        <w:rPr>
          <w:rFonts w:cs="Times New Roman"/>
        </w:rPr>
        <w:t>Additionally, there are m</w:t>
      </w:r>
      <w:r w:rsidRPr="00F84190">
        <w:rPr>
          <w:rFonts w:cs="Times New Roman"/>
        </w:rPr>
        <w:t xml:space="preserve">ore than 1,000 of single-parent households and more than 499 households with limited English proficiency. High frequency transit service not available. Majority </w:t>
      </w:r>
      <w:r>
        <w:rPr>
          <w:rFonts w:cs="Times New Roman"/>
        </w:rPr>
        <w:t xml:space="preserve">of </w:t>
      </w:r>
      <w:r w:rsidRPr="00F84190">
        <w:rPr>
          <w:rFonts w:cs="Times New Roman"/>
        </w:rPr>
        <w:t>bus stops (71%) located at high-volume roads do not have a marked crosswalk</w:t>
      </w:r>
      <w:r>
        <w:rPr>
          <w:rFonts w:cs="Times New Roman"/>
        </w:rPr>
        <w:t xml:space="preserve">, </w:t>
      </w:r>
      <w:r w:rsidRPr="00231FB1">
        <w:rPr>
          <w:rFonts w:cs="Times New Roman"/>
        </w:rPr>
        <w:t>which can cause safety concerns and discourage transit users</w:t>
      </w:r>
      <w:r w:rsidRPr="00F84190">
        <w:rPr>
          <w:rFonts w:cs="Times New Roman"/>
        </w:rPr>
        <w:t>.</w:t>
      </w:r>
      <w:r>
        <w:rPr>
          <w:rFonts w:cs="Times New Roman"/>
        </w:rPr>
        <w:t xml:space="preserve"> Approximately</w:t>
      </w:r>
      <w:r w:rsidRPr="00F84190">
        <w:rPr>
          <w:rFonts w:cs="Times New Roman"/>
        </w:rPr>
        <w:t xml:space="preserve"> 3 miles of the 13 miles of bikeways suggested in the 2016 El Paso Bike Plan have been built. </w:t>
      </w:r>
      <w:r>
        <w:rPr>
          <w:rFonts w:cs="Times New Roman"/>
        </w:rPr>
        <w:t xml:space="preserve">More than </w:t>
      </w:r>
      <w:r w:rsidRPr="00F84190">
        <w:rPr>
          <w:rFonts w:cs="Times New Roman"/>
        </w:rPr>
        <w:t>75% of population lives within a half mile from an existing bikeway. No bicycle parking at transit stops was observed.</w:t>
      </w:r>
    </w:p>
    <w:p w:rsidR="00D927CF" w:rsidRPr="00F84190" w:rsidRDefault="00D927CF" w:rsidP="00D927CF">
      <w:pPr>
        <w:spacing w:after="60"/>
        <w:ind w:firstLine="144"/>
        <w:rPr>
          <w:rFonts w:cs="Times New Roman"/>
        </w:rPr>
      </w:pPr>
      <w:r>
        <w:rPr>
          <w:rFonts w:cs="Times New Roman"/>
          <w:b/>
        </w:rPr>
        <w:t xml:space="preserve"> “Community to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This section has a roadway density of </w:t>
      </w:r>
      <w:r w:rsidRPr="00F84190">
        <w:rPr>
          <w:rFonts w:cs="Times New Roman"/>
        </w:rPr>
        <w:t>1</w:t>
      </w:r>
      <w:r>
        <w:rPr>
          <w:rFonts w:cs="Times New Roman"/>
        </w:rPr>
        <w:t>1 miles per square mile of land</w:t>
      </w:r>
      <w:r w:rsidRPr="00F84190">
        <w:rPr>
          <w:rFonts w:cs="Times New Roman"/>
        </w:rPr>
        <w:t xml:space="preserve"> and </w:t>
      </w:r>
      <w:r>
        <w:rPr>
          <w:rFonts w:cs="Times New Roman"/>
        </w:rPr>
        <w:t xml:space="preserve">a </w:t>
      </w:r>
      <w:r w:rsidRPr="00F84190">
        <w:rPr>
          <w:rFonts w:cs="Times New Roman"/>
        </w:rPr>
        <w:t xml:space="preserve">density of sidewalks </w:t>
      </w:r>
      <w:r>
        <w:rPr>
          <w:rFonts w:cs="Times New Roman"/>
        </w:rPr>
        <w:t xml:space="preserve">about </w:t>
      </w:r>
      <w:r w:rsidRPr="00F84190">
        <w:rPr>
          <w:rFonts w:cs="Times New Roman"/>
        </w:rPr>
        <w:t>9 miles per square mile of land. Jobs</w:t>
      </w:r>
      <w:r>
        <w:rPr>
          <w:rFonts w:cs="Times New Roman"/>
        </w:rPr>
        <w:t xml:space="preserve">-Housing balance ratio of 0.19, which classifies as </w:t>
      </w:r>
      <w:r w:rsidRPr="00F84190">
        <w:rPr>
          <w:rFonts w:cs="Times New Roman"/>
        </w:rPr>
        <w:t>housing rich</w:t>
      </w:r>
      <w:r>
        <w:rPr>
          <w:rFonts w:cs="Times New Roman"/>
        </w:rPr>
        <w:t xml:space="preserve"> (</w:t>
      </w:r>
      <w:r>
        <w:rPr>
          <w:rFonts w:eastAsia="Arial Unicode MS"/>
        </w:rPr>
        <w:t>DVRPC, 2014</w:t>
      </w:r>
      <w:r>
        <w:rPr>
          <w:rFonts w:cs="Times New Roman"/>
        </w:rPr>
        <w:t>)</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were 3 crashes that resulted in an incapacitating injury of a pedestrian or cyclist. Traffic volume in this area produced daily 900 pounds of PM</w:t>
      </w:r>
      <w:r w:rsidRPr="00591CD7">
        <w:rPr>
          <w:rFonts w:cs="Times New Roman"/>
          <w:vertAlign w:val="subscript"/>
        </w:rPr>
        <w:t>10</w:t>
      </w:r>
      <w:r w:rsidRPr="00F84190">
        <w:rPr>
          <w:rFonts w:cs="Times New Roman"/>
        </w:rPr>
        <w:t xml:space="preserve"> per acre.</w:t>
      </w:r>
    </w:p>
    <w:p w:rsidR="00D927CF" w:rsidRPr="00365DF0" w:rsidRDefault="00D927CF" w:rsidP="00D927CF">
      <w:pPr>
        <w:spacing w:after="60"/>
        <w:ind w:firstLine="144"/>
        <w:rPr>
          <w:rFonts w:cs="Times New Roman"/>
        </w:rPr>
      </w:pPr>
      <w:r>
        <w:rPr>
          <w:rFonts w:cs="Times New Roman"/>
          <w:b/>
        </w:rPr>
        <w:t xml:space="preserve"> “</w:t>
      </w:r>
      <w:r w:rsidRPr="00F84190">
        <w:rPr>
          <w:rFonts w:cs="Times New Roman"/>
          <w:b/>
        </w:rPr>
        <w:t xml:space="preserve">Community to </w:t>
      </w:r>
      <w:r>
        <w:rPr>
          <w:rFonts w:cs="Times New Roman"/>
          <w:b/>
        </w:rPr>
        <w:t>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Approximately half of the </w:t>
      </w:r>
      <w:r w:rsidRPr="00F84190">
        <w:rPr>
          <w:rFonts w:cs="Times New Roman"/>
        </w:rPr>
        <w:t>of bus stops</w:t>
      </w:r>
      <w:r>
        <w:rPr>
          <w:rFonts w:cs="Times New Roman"/>
        </w:rPr>
        <w:t xml:space="preserve"> (54%)</w:t>
      </w:r>
      <w:r w:rsidRPr="00F84190">
        <w:rPr>
          <w:rFonts w:cs="Times New Roman"/>
        </w:rPr>
        <w:t xml:space="preserve"> are within 600 ft. of bikeways. The nearest park and ride lot is located outside of this section, at the Eastside Transfer Center. This section is served by </w:t>
      </w:r>
      <w:r>
        <w:rPr>
          <w:rFonts w:cs="Times New Roman"/>
        </w:rPr>
        <w:t>Sun Metro</w:t>
      </w:r>
      <w:r w:rsidRPr="00F84190">
        <w:rPr>
          <w:rFonts w:cs="Times New Roman"/>
        </w:rPr>
        <w:t xml:space="preserve"> route 51 (60-minute interval), route 52 (70-minute interval), route 58 (75-minute interval), route 67 (80-minute interval), and route 75 (service 5 times a day, daily ridership </w:t>
      </w:r>
      <w:r w:rsidRPr="00365DF0">
        <w:rPr>
          <w:rFonts w:cs="Times New Roman"/>
        </w:rPr>
        <w:t xml:space="preserve">20). Approximately 1% of workers commute by transit, 1% walk, 0.06% bike. Travel time index for passenger vehicles is 1.7, indicating that a 10-minute trip can take up to 17 minutes during a peak hour. Based on </w:t>
      </w:r>
      <w:proofErr w:type="spellStart"/>
      <w:r w:rsidRPr="00365DF0">
        <w:rPr>
          <w:rFonts w:cs="Times New Roman"/>
        </w:rPr>
        <w:t>TxDOT</w:t>
      </w:r>
      <w:proofErr w:type="spellEnd"/>
      <w:r w:rsidRPr="00365DF0">
        <w:rPr>
          <w:rFonts w:cs="Times New Roman"/>
        </w:rPr>
        <w:t xml:space="preserve"> statistics, in the last 5 years there was no fatal crash and 14 incapacitating crashes.</w:t>
      </w:r>
    </w:p>
    <w:p w:rsidR="00D927CF" w:rsidRPr="00365DF0" w:rsidRDefault="00D927CF" w:rsidP="00D927CF">
      <w:pPr>
        <w:spacing w:after="60"/>
        <w:ind w:firstLine="144"/>
        <w:rPr>
          <w:rFonts w:cs="Times New Roman"/>
        </w:rPr>
      </w:pPr>
      <w:r w:rsidRPr="00365DF0">
        <w:rPr>
          <w:rFonts w:cs="Times New Roman"/>
          <w:b/>
        </w:rPr>
        <w:t xml:space="preserve"> “Region to Region” </w:t>
      </w:r>
      <w:r>
        <w:rPr>
          <w:rFonts w:cs="Times New Roman"/>
          <w:b/>
        </w:rPr>
        <w:t>Performance Evaluation</w:t>
      </w:r>
      <w:r w:rsidRPr="00F84190">
        <w:rPr>
          <w:rFonts w:cs="Times New Roman"/>
          <w:b/>
        </w:rPr>
        <w:t>:</w:t>
      </w:r>
      <w:r>
        <w:rPr>
          <w:rFonts w:cs="Times New Roman"/>
        </w:rPr>
        <w:t xml:space="preserve"> </w:t>
      </w:r>
      <w:r w:rsidRPr="00365DF0">
        <w:rPr>
          <w:rFonts w:cs="Times New Roman"/>
        </w:rPr>
        <w:t>According to FHWA Highway Performance Management System, 6 miles of pavements are in poor condition. Travel time index for trucks is 1.9, indicating that a 10-minute trip can take up to 19 minutes during a peak hour.</w:t>
      </w:r>
    </w:p>
    <w:p w:rsidR="00D927CF" w:rsidRPr="00365DF0" w:rsidRDefault="00D927CF" w:rsidP="00D927CF">
      <w:pPr>
        <w:spacing w:before="240" w:after="60"/>
        <w:ind w:firstLine="144"/>
        <w:rPr>
          <w:rFonts w:cs="Times New Roman"/>
          <w:i/>
        </w:rPr>
      </w:pPr>
      <w:r w:rsidRPr="00365DF0">
        <w:rPr>
          <w:rFonts w:cs="Times New Roman"/>
          <w:i/>
        </w:rPr>
        <w:t>Section 4</w:t>
      </w:r>
    </w:p>
    <w:p w:rsidR="00D927CF" w:rsidRPr="00365DF0" w:rsidRDefault="00D927CF" w:rsidP="00D927CF">
      <w:pPr>
        <w:spacing w:after="60"/>
        <w:ind w:firstLine="144"/>
        <w:rPr>
          <w:rFonts w:cs="Times New Roman"/>
        </w:rPr>
      </w:pPr>
      <w:r w:rsidRPr="00365DF0">
        <w:rPr>
          <w:rFonts w:cs="Times New Roman"/>
        </w:rPr>
        <w:t>Section 4 includes 3.3 miles of Montana Ave. between N Yarbrough Dr. and Joe Battle Blvd. Activity centers include 12 schools, 4 healthcare facilities, and the Lone Star golf club. This section is predominantly residential, as 31,000 residents live here. With 12 inhabitants per acre, this section has the highest population density. However, there is less than one job per acre.</w:t>
      </w:r>
    </w:p>
    <w:p w:rsidR="00D927CF" w:rsidRPr="00F84190" w:rsidRDefault="00D927CF" w:rsidP="00D927CF">
      <w:pPr>
        <w:spacing w:after="60"/>
        <w:ind w:firstLine="144"/>
        <w:rPr>
          <w:rFonts w:cs="Times New Roman"/>
        </w:rPr>
      </w:pPr>
      <w:r w:rsidRPr="00365DF0">
        <w:rPr>
          <w:rFonts w:cs="Times New Roman"/>
          <w:b/>
        </w:rPr>
        <w:t xml:space="preserve"> “Within Community” </w:t>
      </w:r>
      <w:r>
        <w:rPr>
          <w:rFonts w:cs="Times New Roman"/>
          <w:b/>
        </w:rPr>
        <w:t>Performance Evaluation</w:t>
      </w:r>
      <w:r w:rsidRPr="00F84190">
        <w:rPr>
          <w:rFonts w:cs="Times New Roman"/>
          <w:b/>
        </w:rPr>
        <w:t>:</w:t>
      </w:r>
      <w:r>
        <w:rPr>
          <w:rFonts w:cs="Times New Roman"/>
        </w:rPr>
        <w:t xml:space="preserve"> </w:t>
      </w:r>
      <w:r w:rsidRPr="00365DF0">
        <w:rPr>
          <w:rFonts w:cs="Times New Roman"/>
        </w:rPr>
        <w:t xml:space="preserve">About 1 in 20 households (4%) does not own a car. Potentially transportation disadvantaged populations in this section include more than 5,200 residents living in poverty, more than 1,300 residents are minority (non-Hispanic), more than 2,300 residents are older than 65 years. Additionally, there are more than 2,500 of single-parent households and more than </w:t>
      </w:r>
      <w:r w:rsidRPr="00F84190">
        <w:rPr>
          <w:rFonts w:cs="Times New Roman"/>
        </w:rPr>
        <w:lastRenderedPageBreak/>
        <w:t xml:space="preserve">1,000 households with limited English proficiency. High frequency transit service not available. Majority </w:t>
      </w:r>
      <w:r>
        <w:rPr>
          <w:rFonts w:cs="Times New Roman"/>
        </w:rPr>
        <w:t xml:space="preserve">of </w:t>
      </w:r>
      <w:r w:rsidRPr="00F84190">
        <w:rPr>
          <w:rFonts w:cs="Times New Roman"/>
        </w:rPr>
        <w:t>bus stops (77%) located at high-volume roads do not have a marked crosswalk</w:t>
      </w:r>
      <w:r>
        <w:rPr>
          <w:rFonts w:cs="Times New Roman"/>
        </w:rPr>
        <w:t>,</w:t>
      </w:r>
      <w:r w:rsidRPr="00F504FC">
        <w:t xml:space="preserve"> </w:t>
      </w:r>
      <w:r w:rsidRPr="00F504FC">
        <w:rPr>
          <w:rFonts w:cs="Times New Roman"/>
        </w:rPr>
        <w:t>which can cause safety concerns and discourage transit users</w:t>
      </w:r>
      <w:r w:rsidRPr="00F84190">
        <w:rPr>
          <w:rFonts w:cs="Times New Roman"/>
        </w:rPr>
        <w:t>.</w:t>
      </w:r>
      <w:r>
        <w:rPr>
          <w:rFonts w:cs="Times New Roman"/>
        </w:rPr>
        <w:t xml:space="preserve"> Approximately</w:t>
      </w:r>
      <w:r w:rsidRPr="00F84190">
        <w:rPr>
          <w:rFonts w:cs="Times New Roman"/>
        </w:rPr>
        <w:t xml:space="preserve"> 8 miles of the 35 miles of bikeways suggested in the 2016 El Paso Bike Plan have been built. </w:t>
      </w:r>
      <w:r>
        <w:rPr>
          <w:rFonts w:cs="Times New Roman"/>
        </w:rPr>
        <w:t>More than 9 in 10 residents (</w:t>
      </w:r>
      <w:r w:rsidRPr="00F84190">
        <w:rPr>
          <w:rFonts w:cs="Times New Roman"/>
        </w:rPr>
        <w:t>94%</w:t>
      </w:r>
      <w:r>
        <w:rPr>
          <w:rFonts w:cs="Times New Roman"/>
        </w:rPr>
        <w:t>)</w:t>
      </w:r>
      <w:r w:rsidRPr="00F84190">
        <w:rPr>
          <w:rFonts w:cs="Times New Roman"/>
        </w:rPr>
        <w:t xml:space="preserve"> live within a </w:t>
      </w:r>
      <w:r>
        <w:rPr>
          <w:rFonts w:cs="Times New Roman"/>
        </w:rPr>
        <w:t xml:space="preserve">½ </w:t>
      </w:r>
      <w:r w:rsidRPr="00F84190">
        <w:rPr>
          <w:rFonts w:cs="Times New Roman"/>
        </w:rPr>
        <w:t>mile from an existing bikeway. No bicycle parking at transit stops was observed.</w:t>
      </w:r>
    </w:p>
    <w:p w:rsidR="00D927CF" w:rsidRPr="00F84190" w:rsidRDefault="00D927CF" w:rsidP="00D927CF">
      <w:pPr>
        <w:spacing w:after="60"/>
        <w:ind w:firstLine="144"/>
        <w:rPr>
          <w:rFonts w:cs="Times New Roman"/>
        </w:rPr>
      </w:pPr>
      <w:r>
        <w:rPr>
          <w:rFonts w:cs="Times New Roman"/>
          <w:b/>
        </w:rPr>
        <w:t xml:space="preserve"> “Community to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This section has a roadway density of </w:t>
      </w:r>
      <w:r w:rsidRPr="00F84190">
        <w:rPr>
          <w:rFonts w:cs="Times New Roman"/>
        </w:rPr>
        <w:t>13 miles per square mile of</w:t>
      </w:r>
      <w:r>
        <w:rPr>
          <w:rFonts w:cs="Times New Roman"/>
        </w:rPr>
        <w:t xml:space="preserve"> land</w:t>
      </w:r>
      <w:r w:rsidRPr="00F84190">
        <w:rPr>
          <w:rFonts w:cs="Times New Roman"/>
        </w:rPr>
        <w:t xml:space="preserve"> and </w:t>
      </w:r>
      <w:r>
        <w:rPr>
          <w:rFonts w:cs="Times New Roman"/>
        </w:rPr>
        <w:t xml:space="preserve">a density of sidewalks equals to </w:t>
      </w:r>
      <w:r w:rsidRPr="00F84190">
        <w:rPr>
          <w:rFonts w:cs="Times New Roman"/>
        </w:rPr>
        <w:t>9 miles per square mile of land</w:t>
      </w:r>
      <w:r>
        <w:rPr>
          <w:rFonts w:cs="Times New Roman"/>
        </w:rPr>
        <w:t xml:space="preserve">. Jobs-Housing balance ratio is 0.28, which classifies as </w:t>
      </w:r>
      <w:r w:rsidRPr="00F84190">
        <w:rPr>
          <w:rFonts w:cs="Times New Roman"/>
        </w:rPr>
        <w:t>housing rich</w:t>
      </w:r>
      <w:r>
        <w:rPr>
          <w:rFonts w:cs="Times New Roman"/>
        </w:rPr>
        <w:t xml:space="preserve"> (</w:t>
      </w:r>
      <w:r>
        <w:rPr>
          <w:rFonts w:eastAsia="Arial Unicode MS"/>
        </w:rPr>
        <w:t>DVRPC, 2014</w:t>
      </w:r>
      <w:r>
        <w:rPr>
          <w:rFonts w:cs="Times New Roman"/>
        </w:rPr>
        <w:t>)</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was 1 crash that resulted in an incapacitating injury of a pedestrian or cyclist. Traffic volume in this area produced daily 900 pounds of PM</w:t>
      </w:r>
      <w:r w:rsidRPr="00591CD7">
        <w:rPr>
          <w:rFonts w:cs="Times New Roman"/>
          <w:vertAlign w:val="subscript"/>
        </w:rPr>
        <w:t>10</w:t>
      </w:r>
      <w:r w:rsidRPr="00F84190">
        <w:rPr>
          <w:rFonts w:cs="Times New Roman"/>
        </w:rPr>
        <w:t xml:space="preserve"> per acre.</w:t>
      </w:r>
    </w:p>
    <w:p w:rsidR="00D927CF" w:rsidRPr="00F84190" w:rsidRDefault="00D927CF" w:rsidP="00D927CF">
      <w:pPr>
        <w:spacing w:after="60"/>
        <w:ind w:firstLine="144"/>
        <w:rPr>
          <w:rFonts w:cs="Times New Roman"/>
        </w:rPr>
      </w:pPr>
      <w:r>
        <w:rPr>
          <w:rFonts w:cs="Times New Roman"/>
          <w:b/>
        </w:rPr>
        <w:t xml:space="preserve"> “</w:t>
      </w:r>
      <w:r w:rsidRPr="00F84190">
        <w:rPr>
          <w:rFonts w:cs="Times New Roman"/>
          <w:b/>
        </w:rPr>
        <w:t xml:space="preserve">Community to </w:t>
      </w:r>
      <w:r>
        <w:rPr>
          <w:rFonts w:cs="Times New Roman"/>
          <w:b/>
        </w:rPr>
        <w:t>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Majority </w:t>
      </w:r>
      <w:r w:rsidRPr="00F84190">
        <w:rPr>
          <w:rFonts w:cs="Times New Roman"/>
        </w:rPr>
        <w:t xml:space="preserve">of </w:t>
      </w:r>
      <w:r>
        <w:rPr>
          <w:rFonts w:cs="Times New Roman"/>
        </w:rPr>
        <w:t xml:space="preserve">the </w:t>
      </w:r>
      <w:r w:rsidRPr="00F84190">
        <w:rPr>
          <w:rFonts w:cs="Times New Roman"/>
        </w:rPr>
        <w:t>bus stops</w:t>
      </w:r>
      <w:r>
        <w:rPr>
          <w:rFonts w:cs="Times New Roman"/>
        </w:rPr>
        <w:t xml:space="preserve"> (70%)</w:t>
      </w:r>
      <w:r w:rsidRPr="00F84190">
        <w:rPr>
          <w:rFonts w:cs="Times New Roman"/>
        </w:rPr>
        <w:t xml:space="preserve"> are </w:t>
      </w:r>
      <w:r>
        <w:rPr>
          <w:rFonts w:cs="Times New Roman"/>
        </w:rPr>
        <w:t xml:space="preserve">located </w:t>
      </w:r>
      <w:r w:rsidRPr="00F84190">
        <w:rPr>
          <w:rFonts w:cs="Times New Roman"/>
        </w:rPr>
        <w:t xml:space="preserve">within 600 ft. of bikeways. The nearest park and ride lot is located outside of this section, at </w:t>
      </w:r>
      <w:proofErr w:type="spellStart"/>
      <w:r w:rsidRPr="00F84190">
        <w:rPr>
          <w:rFonts w:cs="Times New Roman"/>
        </w:rPr>
        <w:t>Edgemere</w:t>
      </w:r>
      <w:proofErr w:type="spellEnd"/>
      <w:r w:rsidRPr="00F84190">
        <w:rPr>
          <w:rFonts w:cs="Times New Roman"/>
        </w:rPr>
        <w:t>/RC Poe bus stop</w:t>
      </w:r>
      <w:r>
        <w:rPr>
          <w:rFonts w:cs="Times New Roman"/>
        </w:rPr>
        <w:t xml:space="preserve"> in Section 5</w:t>
      </w:r>
      <w:r w:rsidRPr="00F84190">
        <w:rPr>
          <w:rFonts w:cs="Times New Roman"/>
        </w:rPr>
        <w:t xml:space="preserve">. This section is served by </w:t>
      </w:r>
      <w:r>
        <w:rPr>
          <w:rFonts w:cs="Times New Roman"/>
        </w:rPr>
        <w:t>Sun Metro</w:t>
      </w:r>
      <w:r w:rsidRPr="00F84190">
        <w:rPr>
          <w:rFonts w:cs="Times New Roman"/>
        </w:rPr>
        <w:t xml:space="preserve"> route 51 (60-minute interval), route 58 (75-minute interval), route 67 (80-minute interval), route 69 (55-minute interval), and (service only 5 times a day, daily ridership 20). 1% of workers commute by transit, 3% walk, 0.05% bike. Travel time index for passenger vehicles </w:t>
      </w:r>
      <w:r>
        <w:rPr>
          <w:rFonts w:cs="Times New Roman"/>
        </w:rPr>
        <w:t>is 1.6, indicating that a 10-minute trip can take up to 16 minutes during a peak hour.</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were 2 fatal crashes and 12 incapacitating crashes.</w:t>
      </w:r>
    </w:p>
    <w:p w:rsidR="00D927CF" w:rsidRPr="00F84190" w:rsidRDefault="00D927CF" w:rsidP="00D927CF">
      <w:pPr>
        <w:spacing w:after="60"/>
        <w:ind w:firstLine="144"/>
        <w:rPr>
          <w:rFonts w:cs="Times New Roman"/>
        </w:rPr>
      </w:pPr>
      <w:r>
        <w:rPr>
          <w:rFonts w:cs="Times New Roman"/>
          <w:b/>
        </w:rPr>
        <w:t xml:space="preserve"> “Region to 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According to FHWA Highway Performance Management System, 1 mile of pavements is in poor condition. Travel time index for trucks </w:t>
      </w:r>
      <w:r>
        <w:rPr>
          <w:rFonts w:cs="Times New Roman"/>
        </w:rPr>
        <w:t>is</w:t>
      </w:r>
      <w:r w:rsidRPr="00F84190">
        <w:rPr>
          <w:rFonts w:cs="Times New Roman"/>
        </w:rPr>
        <w:t xml:space="preserve"> 1.8</w:t>
      </w:r>
      <w:r>
        <w:rPr>
          <w:rFonts w:cs="Times New Roman"/>
        </w:rPr>
        <w:t>,</w:t>
      </w:r>
      <w:r w:rsidRPr="00182A70">
        <w:rPr>
          <w:rFonts w:cs="Times New Roman"/>
        </w:rPr>
        <w:t xml:space="preserve"> </w:t>
      </w:r>
      <w:r>
        <w:rPr>
          <w:rFonts w:cs="Times New Roman"/>
        </w:rPr>
        <w:t>indicating that a 10-minute trip can take up to 18 minutes during a peak hour</w:t>
      </w:r>
      <w:r w:rsidRPr="00F84190">
        <w:rPr>
          <w:rFonts w:cs="Times New Roman"/>
        </w:rPr>
        <w:t>.</w:t>
      </w:r>
    </w:p>
    <w:p w:rsidR="00D927CF" w:rsidRPr="00F84190" w:rsidRDefault="00D927CF" w:rsidP="00D927CF">
      <w:pPr>
        <w:spacing w:before="240" w:after="60"/>
        <w:ind w:firstLine="144"/>
        <w:rPr>
          <w:rFonts w:cs="Times New Roman"/>
          <w:i/>
        </w:rPr>
      </w:pPr>
      <w:r w:rsidRPr="00F84190">
        <w:rPr>
          <w:rFonts w:cs="Times New Roman"/>
          <w:i/>
        </w:rPr>
        <w:t>Section 5</w:t>
      </w:r>
    </w:p>
    <w:p w:rsidR="00D927CF" w:rsidRPr="00F84190" w:rsidRDefault="00D927CF" w:rsidP="00D927CF">
      <w:pPr>
        <w:spacing w:after="60"/>
        <w:ind w:firstLine="144"/>
        <w:rPr>
          <w:rFonts w:cs="Times New Roman"/>
        </w:rPr>
      </w:pPr>
      <w:r>
        <w:rPr>
          <w:rFonts w:cs="Times New Roman"/>
        </w:rPr>
        <w:t xml:space="preserve">Section 5 is a </w:t>
      </w:r>
      <w:r w:rsidRPr="00F84190">
        <w:rPr>
          <w:rFonts w:cs="Times New Roman"/>
        </w:rPr>
        <w:t>3.9-mile long section of Montana Av</w:t>
      </w:r>
      <w:r>
        <w:rPr>
          <w:rFonts w:cs="Times New Roman"/>
        </w:rPr>
        <w:t>e</w:t>
      </w:r>
      <w:r w:rsidRPr="00F84190">
        <w:rPr>
          <w:rFonts w:cs="Times New Roman"/>
        </w:rPr>
        <w:t>. between Joe Battle Blvd. and Zaragoza Rd.</w:t>
      </w:r>
      <w:r>
        <w:rPr>
          <w:rFonts w:cs="Times New Roman"/>
        </w:rPr>
        <w:t xml:space="preserve"> Activity centers include </w:t>
      </w:r>
      <w:r w:rsidRPr="00F84190">
        <w:rPr>
          <w:rFonts w:cs="Times New Roman"/>
        </w:rPr>
        <w:t>3 schools, medical facilitie</w:t>
      </w:r>
      <w:r>
        <w:rPr>
          <w:rFonts w:cs="Times New Roman"/>
        </w:rPr>
        <w:t xml:space="preserve">s located along </w:t>
      </w:r>
      <w:proofErr w:type="spellStart"/>
      <w:r>
        <w:rPr>
          <w:rFonts w:cs="Times New Roman"/>
        </w:rPr>
        <w:t>Edgemere</w:t>
      </w:r>
      <w:proofErr w:type="spellEnd"/>
      <w:r>
        <w:rPr>
          <w:rFonts w:cs="Times New Roman"/>
        </w:rPr>
        <w:t xml:space="preserve"> Blvd., and a retail center at Joe Battle, that serve more than 20,000 residents living in this section. </w:t>
      </w:r>
      <w:r w:rsidRPr="00F84190">
        <w:rPr>
          <w:rFonts w:cs="Times New Roman"/>
        </w:rPr>
        <w:t xml:space="preserve">Except the retail center at Joe Battle, this section has a low density of employment. </w:t>
      </w:r>
      <w:r>
        <w:rPr>
          <w:rFonts w:cs="Times New Roman"/>
        </w:rPr>
        <w:t>This mostly residential area results</w:t>
      </w:r>
      <w:r w:rsidRPr="00F84190">
        <w:rPr>
          <w:rFonts w:cs="Times New Roman"/>
        </w:rPr>
        <w:t xml:space="preserve"> in more inhabitants (6 per acre) than jobs (1 per acre).</w:t>
      </w:r>
    </w:p>
    <w:p w:rsidR="00D927CF" w:rsidRPr="00F84190" w:rsidRDefault="00D927CF" w:rsidP="00D927CF">
      <w:pPr>
        <w:spacing w:after="60"/>
        <w:ind w:firstLine="144"/>
        <w:rPr>
          <w:rFonts w:cs="Times New Roman"/>
        </w:rPr>
      </w:pPr>
      <w:r>
        <w:rPr>
          <w:rFonts w:cs="Times New Roman"/>
          <w:b/>
        </w:rPr>
        <w:t xml:space="preserve"> “Within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Only 1 in 100 households (</w:t>
      </w:r>
      <w:r w:rsidRPr="00F84190">
        <w:rPr>
          <w:rFonts w:cs="Times New Roman"/>
        </w:rPr>
        <w:t>1%</w:t>
      </w:r>
      <w:r>
        <w:rPr>
          <w:rFonts w:cs="Times New Roman"/>
        </w:rPr>
        <w:t xml:space="preserve">) </w:t>
      </w:r>
      <w:r w:rsidRPr="00F84190">
        <w:rPr>
          <w:rFonts w:cs="Times New Roman"/>
        </w:rPr>
        <w:t>do</w:t>
      </w:r>
      <w:r>
        <w:rPr>
          <w:rFonts w:cs="Times New Roman"/>
        </w:rPr>
        <w:t>es</w:t>
      </w:r>
      <w:r w:rsidRPr="00F84190">
        <w:rPr>
          <w:rFonts w:cs="Times New Roman"/>
        </w:rPr>
        <w:t xml:space="preserve"> not own a car. </w:t>
      </w:r>
      <w:r w:rsidRPr="002B636E">
        <w:rPr>
          <w:rFonts w:cs="Times New Roman"/>
        </w:rPr>
        <w:t xml:space="preserve">Potentially transportation disadvantaged populations in this section include </w:t>
      </w:r>
      <w:r>
        <w:rPr>
          <w:rFonts w:cs="Times New Roman"/>
        </w:rPr>
        <w:t>m</w:t>
      </w:r>
      <w:r w:rsidRPr="00F84190">
        <w:rPr>
          <w:rFonts w:cs="Times New Roman"/>
        </w:rPr>
        <w:t xml:space="preserve">ore than 3,800 </w:t>
      </w:r>
      <w:r>
        <w:rPr>
          <w:rFonts w:cs="Times New Roman"/>
        </w:rPr>
        <w:t>residents</w:t>
      </w:r>
      <w:r w:rsidRPr="00F84190">
        <w:rPr>
          <w:rFonts w:cs="Times New Roman"/>
        </w:rPr>
        <w:t xml:space="preserve"> </w:t>
      </w:r>
      <w:r>
        <w:rPr>
          <w:rFonts w:cs="Times New Roman"/>
        </w:rPr>
        <w:t xml:space="preserve">living in poverty, </w:t>
      </w:r>
      <w:r w:rsidRPr="00F84190">
        <w:rPr>
          <w:rFonts w:cs="Times New Roman"/>
        </w:rPr>
        <w:t xml:space="preserve">more than 1,400 </w:t>
      </w:r>
      <w:r>
        <w:rPr>
          <w:rFonts w:cs="Times New Roman"/>
        </w:rPr>
        <w:t xml:space="preserve">residents </w:t>
      </w:r>
      <w:r w:rsidRPr="00F84190">
        <w:rPr>
          <w:rFonts w:cs="Times New Roman"/>
        </w:rPr>
        <w:t>are minority</w:t>
      </w:r>
      <w:r>
        <w:rPr>
          <w:rFonts w:cs="Times New Roman"/>
        </w:rPr>
        <w:t xml:space="preserve"> (non-Hispanic), more than 800 residents a</w:t>
      </w:r>
      <w:r w:rsidRPr="00F84190">
        <w:rPr>
          <w:rFonts w:cs="Times New Roman"/>
        </w:rPr>
        <w:t xml:space="preserve">re older than 65 years. </w:t>
      </w:r>
      <w:r>
        <w:rPr>
          <w:rFonts w:cs="Times New Roman"/>
        </w:rPr>
        <w:t>Additionally, there are m</w:t>
      </w:r>
      <w:r w:rsidRPr="00F84190">
        <w:rPr>
          <w:rFonts w:cs="Times New Roman"/>
        </w:rPr>
        <w:t xml:space="preserve">ore than 1,100 of single-parent households and more than 500 households with limited English proficiency. High frequency transit service not available. Majority </w:t>
      </w:r>
      <w:r>
        <w:rPr>
          <w:rFonts w:cs="Times New Roman"/>
        </w:rPr>
        <w:t xml:space="preserve">of </w:t>
      </w:r>
      <w:r w:rsidRPr="00F84190">
        <w:rPr>
          <w:rFonts w:cs="Times New Roman"/>
        </w:rPr>
        <w:t>bus stops (97%) located at high-volume roads do not have a marked crosswalk</w:t>
      </w:r>
      <w:r>
        <w:rPr>
          <w:rFonts w:cs="Times New Roman"/>
        </w:rPr>
        <w:t xml:space="preserve">, </w:t>
      </w:r>
      <w:r w:rsidRPr="002B636E">
        <w:rPr>
          <w:rFonts w:cs="Times New Roman"/>
        </w:rPr>
        <w:t>which can cause safety concerns and discourage transit users</w:t>
      </w:r>
      <w:r w:rsidRPr="00F84190">
        <w:rPr>
          <w:rFonts w:cs="Times New Roman"/>
        </w:rPr>
        <w:t xml:space="preserve">. </w:t>
      </w:r>
      <w:r>
        <w:rPr>
          <w:rFonts w:cs="Times New Roman"/>
        </w:rPr>
        <w:t xml:space="preserve">Approximately </w:t>
      </w:r>
      <w:r w:rsidRPr="00F84190">
        <w:rPr>
          <w:rFonts w:cs="Times New Roman"/>
        </w:rPr>
        <w:t xml:space="preserve">3 miles of the 17 miles of bikeways suggested in the 2016 El Paso Bike Plan have been built. </w:t>
      </w:r>
      <w:r>
        <w:rPr>
          <w:rFonts w:cs="Times New Roman"/>
        </w:rPr>
        <w:t>About one third of the population (</w:t>
      </w:r>
      <w:r w:rsidRPr="00F84190">
        <w:rPr>
          <w:rFonts w:cs="Times New Roman"/>
        </w:rPr>
        <w:t>34%</w:t>
      </w:r>
      <w:r>
        <w:rPr>
          <w:rFonts w:cs="Times New Roman"/>
        </w:rPr>
        <w:t>)</w:t>
      </w:r>
      <w:r w:rsidRPr="00F84190">
        <w:rPr>
          <w:rFonts w:cs="Times New Roman"/>
        </w:rPr>
        <w:t xml:space="preserve"> lives within a </w:t>
      </w:r>
      <w:r>
        <w:rPr>
          <w:rFonts w:cs="Times New Roman"/>
        </w:rPr>
        <w:t xml:space="preserve">½ </w:t>
      </w:r>
      <w:r w:rsidRPr="00F84190">
        <w:rPr>
          <w:rFonts w:cs="Times New Roman"/>
        </w:rPr>
        <w:t>mile from an existing bikeway. No bicycle parking at transit stops was observed.</w:t>
      </w:r>
    </w:p>
    <w:p w:rsidR="00D927CF" w:rsidRPr="00F84190" w:rsidRDefault="00D927CF" w:rsidP="00D927CF">
      <w:pPr>
        <w:spacing w:after="60"/>
        <w:ind w:firstLine="144"/>
        <w:rPr>
          <w:rFonts w:cs="Times New Roman"/>
        </w:rPr>
      </w:pPr>
      <w:r>
        <w:rPr>
          <w:rFonts w:cs="Times New Roman"/>
          <w:b/>
        </w:rPr>
        <w:t xml:space="preserve"> “Community to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This section has a r</w:t>
      </w:r>
      <w:r w:rsidRPr="00F84190">
        <w:rPr>
          <w:rFonts w:cs="Times New Roman"/>
        </w:rPr>
        <w:t>oad</w:t>
      </w:r>
      <w:r>
        <w:rPr>
          <w:rFonts w:cs="Times New Roman"/>
        </w:rPr>
        <w:t xml:space="preserve">way density of </w:t>
      </w:r>
      <w:r w:rsidRPr="00F84190">
        <w:rPr>
          <w:rFonts w:cs="Times New Roman"/>
        </w:rPr>
        <w:t>9</w:t>
      </w:r>
      <w:r>
        <w:rPr>
          <w:rFonts w:cs="Times New Roman"/>
        </w:rPr>
        <w:t xml:space="preserve"> miles per square mile of land </w:t>
      </w:r>
      <w:r w:rsidRPr="00F84190">
        <w:rPr>
          <w:rFonts w:cs="Times New Roman"/>
        </w:rPr>
        <w:t xml:space="preserve">and </w:t>
      </w:r>
      <w:r>
        <w:rPr>
          <w:rFonts w:cs="Times New Roman"/>
        </w:rPr>
        <w:t xml:space="preserve">a density of sidewalks equals to </w:t>
      </w:r>
      <w:r w:rsidRPr="00F84190">
        <w:rPr>
          <w:rFonts w:cs="Times New Roman"/>
        </w:rPr>
        <w:t>4 miles per square mile of land).</w:t>
      </w:r>
      <w:r>
        <w:rPr>
          <w:rFonts w:cs="Times New Roman"/>
        </w:rPr>
        <w:t xml:space="preserve"> Jobs-Housing balance ratio is 0.25, which classifies as </w:t>
      </w:r>
      <w:r w:rsidRPr="00F84190">
        <w:rPr>
          <w:rFonts w:cs="Times New Roman"/>
        </w:rPr>
        <w:t>housing rich</w:t>
      </w:r>
      <w:r>
        <w:rPr>
          <w:rFonts w:cs="Times New Roman"/>
        </w:rPr>
        <w:t xml:space="preserve"> (</w:t>
      </w:r>
      <w:r>
        <w:rPr>
          <w:rFonts w:eastAsia="Arial Unicode MS"/>
        </w:rPr>
        <w:t>DVRPC, 2014</w:t>
      </w:r>
      <w:r>
        <w:rPr>
          <w:rFonts w:cs="Times New Roman"/>
        </w:rPr>
        <w:t>)</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was 1 crash that resulted in an incapacitating injury of a pedestrian or cyclist. Traffic volume in this area produced daily 400 pounds of PM</w:t>
      </w:r>
      <w:r w:rsidRPr="00591CD7">
        <w:rPr>
          <w:rFonts w:cs="Times New Roman"/>
          <w:vertAlign w:val="subscript"/>
        </w:rPr>
        <w:t>10</w:t>
      </w:r>
      <w:r w:rsidRPr="00F84190">
        <w:rPr>
          <w:rFonts w:cs="Times New Roman"/>
        </w:rPr>
        <w:t xml:space="preserve"> per acre.</w:t>
      </w:r>
    </w:p>
    <w:p w:rsidR="00D927CF" w:rsidRPr="00F84190" w:rsidRDefault="00D927CF" w:rsidP="00D927CF">
      <w:pPr>
        <w:spacing w:after="60"/>
        <w:ind w:firstLine="144"/>
        <w:rPr>
          <w:rFonts w:cs="Times New Roman"/>
        </w:rPr>
      </w:pPr>
      <w:r>
        <w:rPr>
          <w:rFonts w:cs="Times New Roman"/>
          <w:b/>
        </w:rPr>
        <w:t xml:space="preserve"> “</w:t>
      </w:r>
      <w:r w:rsidRPr="00F84190">
        <w:rPr>
          <w:rFonts w:cs="Times New Roman"/>
          <w:b/>
        </w:rPr>
        <w:t xml:space="preserve">Community to </w:t>
      </w:r>
      <w:r>
        <w:rPr>
          <w:rFonts w:cs="Times New Roman"/>
          <w:b/>
        </w:rPr>
        <w:t>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More than a half o</w:t>
      </w:r>
      <w:r w:rsidRPr="00F84190">
        <w:rPr>
          <w:rFonts w:cs="Times New Roman"/>
        </w:rPr>
        <w:t xml:space="preserve">f </w:t>
      </w:r>
      <w:r>
        <w:rPr>
          <w:rFonts w:cs="Times New Roman"/>
        </w:rPr>
        <w:t xml:space="preserve">the </w:t>
      </w:r>
      <w:r w:rsidRPr="00F84190">
        <w:rPr>
          <w:rFonts w:cs="Times New Roman"/>
        </w:rPr>
        <w:t>bus stops</w:t>
      </w:r>
      <w:r>
        <w:rPr>
          <w:rFonts w:cs="Times New Roman"/>
        </w:rPr>
        <w:t xml:space="preserve"> (52%)</w:t>
      </w:r>
      <w:r w:rsidRPr="00F84190">
        <w:rPr>
          <w:rFonts w:cs="Times New Roman"/>
        </w:rPr>
        <w:t xml:space="preserve"> are within 600 ft. of bikeways. The </w:t>
      </w:r>
      <w:proofErr w:type="spellStart"/>
      <w:r w:rsidRPr="00F84190">
        <w:rPr>
          <w:rFonts w:cs="Times New Roman"/>
        </w:rPr>
        <w:t>Edgemere</w:t>
      </w:r>
      <w:proofErr w:type="spellEnd"/>
      <w:r w:rsidRPr="00F84190">
        <w:rPr>
          <w:rFonts w:cs="Times New Roman"/>
        </w:rPr>
        <w:t xml:space="preserve">/RC Poe bus stop offers 103 parking spaces in its park and ride lot. </w:t>
      </w:r>
      <w:r w:rsidRPr="00F84190">
        <w:rPr>
          <w:rFonts w:cs="Times New Roman"/>
        </w:rPr>
        <w:lastRenderedPageBreak/>
        <w:t xml:space="preserve">This section is served by </w:t>
      </w:r>
      <w:r>
        <w:rPr>
          <w:rFonts w:cs="Times New Roman"/>
        </w:rPr>
        <w:t>Sun Metro</w:t>
      </w:r>
      <w:r w:rsidRPr="00F84190">
        <w:rPr>
          <w:rFonts w:cs="Times New Roman"/>
        </w:rPr>
        <w:t xml:space="preserve"> route 51 (60-minute interval), route 60 (60-minute interval), and route 75 (service only 5 times a day, daily ridership 20). 0.1% of workers commute by transit, 0.3% walk, 0% bike. Travel time index for passenger vehicles </w:t>
      </w:r>
      <w:r>
        <w:rPr>
          <w:rFonts w:cs="Times New Roman"/>
        </w:rPr>
        <w:t>is</w:t>
      </w:r>
      <w:r w:rsidRPr="00F84190">
        <w:rPr>
          <w:rFonts w:cs="Times New Roman"/>
        </w:rPr>
        <w:t xml:space="preserve"> 1.6</w:t>
      </w:r>
      <w:r>
        <w:rPr>
          <w:rFonts w:cs="Times New Roman"/>
        </w:rPr>
        <w:t xml:space="preserve">, indicating that a 10-minute trip can take up to 16 minutes during a peak hour. </w:t>
      </w:r>
      <w:r w:rsidRPr="00F84190">
        <w:rPr>
          <w:rFonts w:cs="Times New Roman"/>
        </w:rPr>
        <w:t xml:space="preserve">Based on </w:t>
      </w:r>
      <w:proofErr w:type="spellStart"/>
      <w:r w:rsidRPr="00F84190">
        <w:rPr>
          <w:rFonts w:cs="Times New Roman"/>
        </w:rPr>
        <w:t>TxDOT</w:t>
      </w:r>
      <w:proofErr w:type="spellEnd"/>
      <w:r w:rsidRPr="00F84190">
        <w:rPr>
          <w:rFonts w:cs="Times New Roman"/>
        </w:rPr>
        <w:t xml:space="preserve"> statistics, in the last 5 years there were 3 fatal crashes and 4 incapacitating crashes.</w:t>
      </w:r>
    </w:p>
    <w:p w:rsidR="00D927CF" w:rsidRPr="00F84190" w:rsidRDefault="00D927CF" w:rsidP="00D927CF">
      <w:pPr>
        <w:spacing w:after="60"/>
        <w:ind w:firstLine="144"/>
        <w:rPr>
          <w:rFonts w:cs="Times New Roman"/>
        </w:rPr>
      </w:pPr>
      <w:r>
        <w:rPr>
          <w:rFonts w:cs="Times New Roman"/>
          <w:b/>
        </w:rPr>
        <w:t xml:space="preserve"> “Region to 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According to FHWA Highway Performance Management System, 2 miles of pavements are in poor condition. Travel time index for trucks </w:t>
      </w:r>
      <w:r>
        <w:rPr>
          <w:rFonts w:cs="Times New Roman"/>
        </w:rPr>
        <w:t>is</w:t>
      </w:r>
      <w:r w:rsidRPr="00F84190">
        <w:rPr>
          <w:rFonts w:cs="Times New Roman"/>
        </w:rPr>
        <w:t xml:space="preserve"> 1.8</w:t>
      </w:r>
      <w:r>
        <w:rPr>
          <w:rFonts w:cs="Times New Roman"/>
        </w:rPr>
        <w:t>,</w:t>
      </w:r>
      <w:r w:rsidRPr="00182A70">
        <w:rPr>
          <w:rFonts w:cs="Times New Roman"/>
        </w:rPr>
        <w:t xml:space="preserve"> </w:t>
      </w:r>
      <w:r>
        <w:rPr>
          <w:rFonts w:cs="Times New Roman"/>
        </w:rPr>
        <w:t>indicating that a 10-minute trip can take up to 18 minutes during a peak hour</w:t>
      </w:r>
      <w:r w:rsidRPr="00F84190">
        <w:rPr>
          <w:rFonts w:cs="Times New Roman"/>
        </w:rPr>
        <w:t>.</w:t>
      </w:r>
    </w:p>
    <w:p w:rsidR="00D927CF" w:rsidRPr="00F84190" w:rsidRDefault="00D927CF" w:rsidP="00D927CF">
      <w:pPr>
        <w:spacing w:before="240" w:after="60"/>
        <w:ind w:firstLine="144"/>
        <w:rPr>
          <w:rFonts w:cs="Times New Roman"/>
          <w:i/>
        </w:rPr>
      </w:pPr>
      <w:r w:rsidRPr="00F84190">
        <w:rPr>
          <w:rFonts w:cs="Times New Roman"/>
          <w:i/>
        </w:rPr>
        <w:t>Section 6</w:t>
      </w:r>
    </w:p>
    <w:p w:rsidR="00D927CF" w:rsidRPr="00F84190" w:rsidRDefault="00D927CF" w:rsidP="00D927CF">
      <w:pPr>
        <w:spacing w:after="60"/>
        <w:ind w:firstLine="144"/>
        <w:rPr>
          <w:rFonts w:cs="Times New Roman"/>
        </w:rPr>
      </w:pPr>
      <w:r w:rsidRPr="006A110F">
        <w:rPr>
          <w:rFonts w:cs="Times New Roman"/>
        </w:rPr>
        <w:t>Section 6 is a 4</w:t>
      </w:r>
      <w:r w:rsidRPr="00F84190">
        <w:rPr>
          <w:rFonts w:cs="Times New Roman"/>
        </w:rPr>
        <w:t>.7-mile long section of Montana Av</w:t>
      </w:r>
      <w:r>
        <w:rPr>
          <w:rFonts w:cs="Times New Roman"/>
        </w:rPr>
        <w:t>e</w:t>
      </w:r>
      <w:r w:rsidRPr="00F84190">
        <w:rPr>
          <w:rFonts w:cs="Times New Roman"/>
        </w:rPr>
        <w:t>. between Zaragoza Rd. and Araceli Ave.</w:t>
      </w:r>
      <w:r>
        <w:rPr>
          <w:rFonts w:cs="Times New Roman"/>
        </w:rPr>
        <w:t xml:space="preserve"> It crosses from the City of El Paso into the El Paso County, which</w:t>
      </w:r>
      <w:r w:rsidRPr="00F84190">
        <w:rPr>
          <w:rFonts w:cs="Times New Roman"/>
        </w:rPr>
        <w:t xml:space="preserve"> </w:t>
      </w:r>
      <w:r>
        <w:rPr>
          <w:rFonts w:cs="Times New Roman"/>
        </w:rPr>
        <w:t xml:space="preserve">affected </w:t>
      </w:r>
      <w:r w:rsidRPr="00F84190">
        <w:rPr>
          <w:rFonts w:cs="Times New Roman"/>
        </w:rPr>
        <w:t>the data availability</w:t>
      </w:r>
      <w:r>
        <w:rPr>
          <w:rFonts w:cs="Times New Roman"/>
        </w:rPr>
        <w:t xml:space="preserve"> in this case study. There are four</w:t>
      </w:r>
      <w:r w:rsidRPr="00F84190">
        <w:rPr>
          <w:rFonts w:cs="Times New Roman"/>
        </w:rPr>
        <w:t xml:space="preserve"> schools</w:t>
      </w:r>
      <w:r>
        <w:rPr>
          <w:rFonts w:cs="Times New Roman"/>
        </w:rPr>
        <w:t xml:space="preserve"> as well as some smaller r</w:t>
      </w:r>
      <w:r w:rsidRPr="00F84190">
        <w:rPr>
          <w:rFonts w:cs="Times New Roman"/>
        </w:rPr>
        <w:t>etail and services scattered along the Montana Ave.</w:t>
      </w:r>
      <w:r>
        <w:rPr>
          <w:rFonts w:cs="Times New Roman"/>
        </w:rPr>
        <w:t xml:space="preserve"> This section has a very l</w:t>
      </w:r>
      <w:r w:rsidRPr="00F84190">
        <w:rPr>
          <w:rFonts w:cs="Times New Roman"/>
        </w:rPr>
        <w:t>ow density of employment (0.05 jobs per acre)</w:t>
      </w:r>
      <w:r>
        <w:rPr>
          <w:rFonts w:cs="Times New Roman"/>
        </w:rPr>
        <w:t xml:space="preserve"> and </w:t>
      </w:r>
      <w:r w:rsidRPr="00F84190">
        <w:rPr>
          <w:rFonts w:cs="Times New Roman"/>
        </w:rPr>
        <w:t>mostly residential or undeveloped land (1 inhabitant per acre</w:t>
      </w:r>
      <w:r>
        <w:rPr>
          <w:rFonts w:cs="Times New Roman"/>
        </w:rPr>
        <w:t>, total 8,000 residents</w:t>
      </w:r>
      <w:r w:rsidRPr="00F84190">
        <w:rPr>
          <w:rFonts w:cs="Times New Roman"/>
        </w:rPr>
        <w:t xml:space="preserve">). </w:t>
      </w:r>
    </w:p>
    <w:p w:rsidR="00D927CF" w:rsidRPr="00F84190" w:rsidRDefault="00D927CF" w:rsidP="00D927CF">
      <w:pPr>
        <w:spacing w:after="60"/>
        <w:ind w:firstLine="144"/>
        <w:rPr>
          <w:rFonts w:cs="Times New Roman"/>
        </w:rPr>
      </w:pPr>
      <w:r>
        <w:rPr>
          <w:rFonts w:cs="Times New Roman"/>
          <w:b/>
        </w:rPr>
        <w:t xml:space="preserve"> “Within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About 1 in 10 (</w:t>
      </w:r>
      <w:r w:rsidRPr="00F84190">
        <w:rPr>
          <w:rFonts w:cs="Times New Roman"/>
        </w:rPr>
        <w:t>9%</w:t>
      </w:r>
      <w:r>
        <w:rPr>
          <w:rFonts w:cs="Times New Roman"/>
        </w:rPr>
        <w:t xml:space="preserve">) households </w:t>
      </w:r>
      <w:proofErr w:type="gramStart"/>
      <w:r w:rsidRPr="00F84190">
        <w:rPr>
          <w:rFonts w:cs="Times New Roman"/>
        </w:rPr>
        <w:t>do</w:t>
      </w:r>
      <w:r>
        <w:rPr>
          <w:rFonts w:cs="Times New Roman"/>
        </w:rPr>
        <w:t>es</w:t>
      </w:r>
      <w:proofErr w:type="gramEnd"/>
      <w:r>
        <w:rPr>
          <w:rFonts w:cs="Times New Roman"/>
        </w:rPr>
        <w:t xml:space="preserve"> not own a car. </w:t>
      </w:r>
      <w:r w:rsidRPr="002B636E">
        <w:rPr>
          <w:rFonts w:cs="Times New Roman"/>
        </w:rPr>
        <w:t xml:space="preserve">Potentially transportation disadvantaged populations in this section include </w:t>
      </w:r>
      <w:r>
        <w:rPr>
          <w:rFonts w:cs="Times New Roman"/>
        </w:rPr>
        <w:t>m</w:t>
      </w:r>
      <w:r w:rsidRPr="00F84190">
        <w:rPr>
          <w:rFonts w:cs="Times New Roman"/>
        </w:rPr>
        <w:t xml:space="preserve">ore than 2,300 </w:t>
      </w:r>
      <w:r>
        <w:rPr>
          <w:rFonts w:cs="Times New Roman"/>
        </w:rPr>
        <w:t>residents living in poverty</w:t>
      </w:r>
      <w:r w:rsidRPr="00F84190">
        <w:rPr>
          <w:rFonts w:cs="Times New Roman"/>
        </w:rPr>
        <w:t xml:space="preserve">, about 80 </w:t>
      </w:r>
      <w:r>
        <w:rPr>
          <w:rFonts w:cs="Times New Roman"/>
        </w:rPr>
        <w:t xml:space="preserve">residents </w:t>
      </w:r>
      <w:r w:rsidRPr="00F84190">
        <w:rPr>
          <w:rFonts w:cs="Times New Roman"/>
        </w:rPr>
        <w:t xml:space="preserve">are minority (non-Hispanic), more than 800 </w:t>
      </w:r>
      <w:r>
        <w:rPr>
          <w:rFonts w:cs="Times New Roman"/>
        </w:rPr>
        <w:t xml:space="preserve">residents </w:t>
      </w:r>
      <w:r w:rsidRPr="00F84190">
        <w:rPr>
          <w:rFonts w:cs="Times New Roman"/>
        </w:rPr>
        <w:t xml:space="preserve">are older than 65 years. </w:t>
      </w:r>
      <w:r>
        <w:rPr>
          <w:rFonts w:cs="Times New Roman"/>
        </w:rPr>
        <w:t>Additionally, there are more</w:t>
      </w:r>
      <w:r w:rsidRPr="00F84190">
        <w:rPr>
          <w:rFonts w:cs="Times New Roman"/>
        </w:rPr>
        <w:t xml:space="preserve"> than 500 of single-parent households and more than 500 households with limited English proficiency. High frequency </w:t>
      </w:r>
      <w:r>
        <w:rPr>
          <w:rFonts w:cs="Times New Roman"/>
        </w:rPr>
        <w:t>transit service not available. Exact l</w:t>
      </w:r>
      <w:r w:rsidRPr="00F84190">
        <w:rPr>
          <w:rFonts w:cs="Times New Roman"/>
        </w:rPr>
        <w:t>ocation of county transit stops was not available. None of the 5 miles of bikeways suggested in the 2016 El Paso Bike Plan have been built. No bicycle parking at transit stops was observed.</w:t>
      </w:r>
    </w:p>
    <w:p w:rsidR="00D927CF" w:rsidRPr="00F84190" w:rsidRDefault="00D927CF" w:rsidP="00D927CF">
      <w:pPr>
        <w:spacing w:after="60"/>
        <w:ind w:firstLine="144"/>
        <w:rPr>
          <w:rFonts w:cs="Times New Roman"/>
        </w:rPr>
      </w:pPr>
      <w:r>
        <w:rPr>
          <w:rFonts w:cs="Times New Roman"/>
          <w:b/>
        </w:rPr>
        <w:t>“Community to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This section has a roadway density of 8 miles per square mile of land</w:t>
      </w:r>
      <w:r w:rsidRPr="00F84190">
        <w:rPr>
          <w:rFonts w:cs="Times New Roman"/>
        </w:rPr>
        <w:t xml:space="preserve"> and </w:t>
      </w:r>
      <w:r>
        <w:rPr>
          <w:rFonts w:cs="Times New Roman"/>
        </w:rPr>
        <w:t xml:space="preserve">a </w:t>
      </w:r>
      <w:r w:rsidRPr="00F84190">
        <w:rPr>
          <w:rFonts w:cs="Times New Roman"/>
        </w:rPr>
        <w:t xml:space="preserve">density of sidewalks </w:t>
      </w:r>
      <w:r>
        <w:rPr>
          <w:rFonts w:cs="Times New Roman"/>
        </w:rPr>
        <w:t xml:space="preserve">is </w:t>
      </w:r>
      <w:r w:rsidRPr="00F84190">
        <w:rPr>
          <w:rFonts w:cs="Times New Roman"/>
        </w:rPr>
        <w:t>unkno</w:t>
      </w:r>
      <w:r>
        <w:rPr>
          <w:rFonts w:cs="Times New Roman"/>
        </w:rPr>
        <w:t xml:space="preserve">wn. Jobs-Housing balance ratio is 0.14, which can be classified as </w:t>
      </w:r>
      <w:r w:rsidRPr="00F84190">
        <w:rPr>
          <w:rFonts w:cs="Times New Roman"/>
        </w:rPr>
        <w:t>housing rich</w:t>
      </w:r>
      <w:r>
        <w:rPr>
          <w:rFonts w:cs="Times New Roman"/>
        </w:rPr>
        <w:t xml:space="preserve"> (</w:t>
      </w:r>
      <w:r>
        <w:rPr>
          <w:rFonts w:eastAsia="Arial Unicode MS"/>
        </w:rPr>
        <w:t>DVRPC, 2014</w:t>
      </w:r>
      <w:r>
        <w:rPr>
          <w:rFonts w:cs="Times New Roman"/>
        </w:rPr>
        <w:t>)</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was 1 crash that resulted in an incapacitating injury of a pedestrian or cyclist. Traffic volume in this area produced daily 70 pounds of PM</w:t>
      </w:r>
      <w:r w:rsidRPr="00591CD7">
        <w:rPr>
          <w:rFonts w:cs="Times New Roman"/>
          <w:vertAlign w:val="subscript"/>
        </w:rPr>
        <w:t>10</w:t>
      </w:r>
      <w:r w:rsidRPr="00F84190">
        <w:rPr>
          <w:rFonts w:cs="Times New Roman"/>
        </w:rPr>
        <w:t xml:space="preserve"> per acre.</w:t>
      </w:r>
    </w:p>
    <w:p w:rsidR="00D927CF" w:rsidRPr="00F84190" w:rsidRDefault="00D927CF" w:rsidP="00D927CF">
      <w:pPr>
        <w:spacing w:after="60"/>
        <w:ind w:firstLine="144"/>
        <w:rPr>
          <w:rFonts w:cs="Times New Roman"/>
        </w:rPr>
      </w:pPr>
      <w:r>
        <w:rPr>
          <w:rFonts w:cs="Times New Roman"/>
          <w:b/>
        </w:rPr>
        <w:t xml:space="preserve"> “</w:t>
      </w:r>
      <w:r w:rsidRPr="00F84190">
        <w:rPr>
          <w:rFonts w:cs="Times New Roman"/>
          <w:b/>
        </w:rPr>
        <w:t xml:space="preserve">Community to </w:t>
      </w:r>
      <w:r>
        <w:rPr>
          <w:rFonts w:cs="Times New Roman"/>
          <w:b/>
        </w:rPr>
        <w:t>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Due to no existing bikeways in this section, the percentage of bus stops within 600 ft. is zero. The nearest park and ride lot is located outside of this section, at </w:t>
      </w:r>
      <w:proofErr w:type="spellStart"/>
      <w:r w:rsidRPr="00F84190">
        <w:rPr>
          <w:rFonts w:cs="Times New Roman"/>
        </w:rPr>
        <w:t>Edgemere</w:t>
      </w:r>
      <w:proofErr w:type="spellEnd"/>
      <w:r w:rsidRPr="00F84190">
        <w:rPr>
          <w:rFonts w:cs="Times New Roman"/>
        </w:rPr>
        <w:t>/RC Poe bus stop</w:t>
      </w:r>
      <w:r>
        <w:rPr>
          <w:rFonts w:cs="Times New Roman"/>
        </w:rPr>
        <w:t xml:space="preserve"> in Section 5</w:t>
      </w:r>
      <w:r w:rsidRPr="00F84190">
        <w:rPr>
          <w:rFonts w:cs="Times New Roman"/>
        </w:rPr>
        <w:t xml:space="preserve">. This section is served by the El Paso County Transit route number 20 with frequency between 60 and 150 minutes. </w:t>
      </w:r>
      <w:r>
        <w:rPr>
          <w:rFonts w:cs="Times New Roman"/>
        </w:rPr>
        <w:t xml:space="preserve">About </w:t>
      </w:r>
      <w:r w:rsidRPr="00F84190">
        <w:rPr>
          <w:rFonts w:cs="Times New Roman"/>
        </w:rPr>
        <w:t xml:space="preserve">0.5% of workers commute by transit, 0.8% walk, </w:t>
      </w:r>
      <w:r>
        <w:rPr>
          <w:rFonts w:cs="Times New Roman"/>
        </w:rPr>
        <w:t>none of the workers reported to</w:t>
      </w:r>
      <w:r w:rsidRPr="00F84190">
        <w:rPr>
          <w:rFonts w:cs="Times New Roman"/>
        </w:rPr>
        <w:t xml:space="preserve"> bike. Travel time index for passenger vehicles </w:t>
      </w:r>
      <w:r>
        <w:rPr>
          <w:rFonts w:cs="Times New Roman"/>
        </w:rPr>
        <w:t>is</w:t>
      </w:r>
      <w:r w:rsidRPr="00F84190">
        <w:rPr>
          <w:rFonts w:cs="Times New Roman"/>
        </w:rPr>
        <w:t xml:space="preserve"> 1.4</w:t>
      </w:r>
      <w:r>
        <w:rPr>
          <w:rFonts w:cs="Times New Roman"/>
        </w:rPr>
        <w:t>, indicating that a 10-minute trip can take up to 14 minutes during a peak hour</w:t>
      </w:r>
      <w:r w:rsidRPr="00F84190">
        <w:rPr>
          <w:rFonts w:cs="Times New Roman"/>
        </w:rPr>
        <w:t xml:space="preserve">.  Based on </w:t>
      </w:r>
      <w:proofErr w:type="spellStart"/>
      <w:r w:rsidRPr="00F84190">
        <w:rPr>
          <w:rFonts w:cs="Times New Roman"/>
        </w:rPr>
        <w:t>TxDOT</w:t>
      </w:r>
      <w:proofErr w:type="spellEnd"/>
      <w:r w:rsidRPr="00F84190">
        <w:rPr>
          <w:rFonts w:cs="Times New Roman"/>
        </w:rPr>
        <w:t xml:space="preserve"> statistics, in the last 5 years there was 1 fatal crash and 8 incapacitating crashes.</w:t>
      </w:r>
    </w:p>
    <w:p w:rsidR="00D927CF" w:rsidRPr="00F84190" w:rsidRDefault="00D927CF" w:rsidP="00D927CF">
      <w:pPr>
        <w:spacing w:after="60"/>
        <w:ind w:firstLine="144"/>
        <w:rPr>
          <w:rFonts w:cs="Times New Roman"/>
        </w:rPr>
      </w:pPr>
      <w:r>
        <w:rPr>
          <w:rFonts w:cs="Times New Roman"/>
          <w:b/>
        </w:rPr>
        <w:t>“Region to 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According to FHWA Highway Performance Management System, there are no pavements in poor condition. Travel time index for trucks </w:t>
      </w:r>
      <w:r>
        <w:rPr>
          <w:rFonts w:cs="Times New Roman"/>
        </w:rPr>
        <w:t xml:space="preserve">is </w:t>
      </w:r>
      <w:r w:rsidRPr="00F84190">
        <w:rPr>
          <w:rFonts w:cs="Times New Roman"/>
        </w:rPr>
        <w:t>1.4</w:t>
      </w:r>
      <w:r>
        <w:rPr>
          <w:rFonts w:cs="Times New Roman"/>
        </w:rPr>
        <w:t>,</w:t>
      </w:r>
      <w:r w:rsidRPr="00182A70">
        <w:rPr>
          <w:rFonts w:cs="Times New Roman"/>
        </w:rPr>
        <w:t xml:space="preserve"> </w:t>
      </w:r>
      <w:r>
        <w:rPr>
          <w:rFonts w:cs="Times New Roman"/>
        </w:rPr>
        <w:t>indicating that a 10-minute trip can take up to 14 minutes during a peak hour</w:t>
      </w:r>
      <w:r w:rsidRPr="00F84190">
        <w:rPr>
          <w:rFonts w:cs="Times New Roman"/>
        </w:rPr>
        <w:t>.</w:t>
      </w:r>
    </w:p>
    <w:p w:rsidR="00D927CF" w:rsidRPr="00F84190" w:rsidRDefault="00D927CF" w:rsidP="00D927CF">
      <w:pPr>
        <w:spacing w:before="240" w:after="60"/>
        <w:ind w:firstLine="144"/>
        <w:rPr>
          <w:rFonts w:cs="Times New Roman"/>
          <w:i/>
        </w:rPr>
      </w:pPr>
      <w:r w:rsidRPr="00F84190">
        <w:rPr>
          <w:rFonts w:cs="Times New Roman"/>
          <w:i/>
        </w:rPr>
        <w:t>Section 7</w:t>
      </w:r>
    </w:p>
    <w:p w:rsidR="00D927CF" w:rsidRPr="00F84190" w:rsidRDefault="00D927CF" w:rsidP="00D927CF">
      <w:pPr>
        <w:spacing w:after="60"/>
        <w:ind w:firstLine="144"/>
        <w:rPr>
          <w:rFonts w:cs="Times New Roman"/>
        </w:rPr>
      </w:pPr>
      <w:r>
        <w:rPr>
          <w:rFonts w:cs="Times New Roman"/>
        </w:rPr>
        <w:t>Section 1 is t</w:t>
      </w:r>
      <w:r w:rsidRPr="00F84190">
        <w:rPr>
          <w:rFonts w:cs="Times New Roman"/>
        </w:rPr>
        <w:t xml:space="preserve">he east most section </w:t>
      </w:r>
      <w:r>
        <w:rPr>
          <w:rFonts w:cs="Times New Roman"/>
        </w:rPr>
        <w:t xml:space="preserve">in this </w:t>
      </w:r>
      <w:r w:rsidRPr="00F84190">
        <w:rPr>
          <w:rFonts w:cs="Times New Roman"/>
        </w:rPr>
        <w:t xml:space="preserve">case study </w:t>
      </w:r>
      <w:r>
        <w:rPr>
          <w:rFonts w:cs="Times New Roman"/>
        </w:rPr>
        <w:t xml:space="preserve">and </w:t>
      </w:r>
      <w:r w:rsidRPr="00F84190">
        <w:rPr>
          <w:rFonts w:cs="Times New Roman"/>
        </w:rPr>
        <w:t>includes a 4-mile long section of Montana Av</w:t>
      </w:r>
      <w:r>
        <w:rPr>
          <w:rFonts w:cs="Times New Roman"/>
        </w:rPr>
        <w:t>e</w:t>
      </w:r>
      <w:r w:rsidRPr="00F84190">
        <w:rPr>
          <w:rFonts w:cs="Times New Roman"/>
        </w:rPr>
        <w:t xml:space="preserve">. between Araceli Ave. and </w:t>
      </w:r>
      <w:proofErr w:type="spellStart"/>
      <w:r w:rsidRPr="00F84190">
        <w:rPr>
          <w:rFonts w:cs="Times New Roman"/>
        </w:rPr>
        <w:t>Hueco</w:t>
      </w:r>
      <w:proofErr w:type="spellEnd"/>
      <w:r w:rsidRPr="00F84190">
        <w:rPr>
          <w:rFonts w:cs="Times New Roman"/>
        </w:rPr>
        <w:t xml:space="preserve"> Tanks Rd.</w:t>
      </w:r>
      <w:r>
        <w:rPr>
          <w:rFonts w:cs="Times New Roman"/>
        </w:rPr>
        <w:t xml:space="preserve"> The entire section is located in the El Paso County, El Paso County, which</w:t>
      </w:r>
      <w:r w:rsidRPr="00F84190">
        <w:rPr>
          <w:rFonts w:cs="Times New Roman"/>
        </w:rPr>
        <w:t xml:space="preserve"> </w:t>
      </w:r>
      <w:r>
        <w:rPr>
          <w:rFonts w:cs="Times New Roman"/>
        </w:rPr>
        <w:t xml:space="preserve">affected </w:t>
      </w:r>
      <w:r w:rsidRPr="00F84190">
        <w:rPr>
          <w:rFonts w:cs="Times New Roman"/>
        </w:rPr>
        <w:t>the data availability</w:t>
      </w:r>
      <w:r>
        <w:rPr>
          <w:rFonts w:cs="Times New Roman"/>
        </w:rPr>
        <w:t xml:space="preserve"> in this case study. No </w:t>
      </w:r>
      <w:r w:rsidRPr="00F84190">
        <w:rPr>
          <w:rFonts w:cs="Times New Roman"/>
        </w:rPr>
        <w:t>schools</w:t>
      </w:r>
      <w:r>
        <w:rPr>
          <w:rFonts w:cs="Times New Roman"/>
        </w:rPr>
        <w:t xml:space="preserve">, </w:t>
      </w:r>
      <w:r w:rsidRPr="00F84190">
        <w:rPr>
          <w:rFonts w:cs="Times New Roman"/>
        </w:rPr>
        <w:t xml:space="preserve">healthcare, </w:t>
      </w:r>
      <w:r>
        <w:rPr>
          <w:rFonts w:cs="Times New Roman"/>
        </w:rPr>
        <w:t xml:space="preserve">or </w:t>
      </w:r>
      <w:r w:rsidRPr="00F84190">
        <w:rPr>
          <w:rFonts w:cs="Times New Roman"/>
        </w:rPr>
        <w:t>major retail</w:t>
      </w:r>
      <w:r>
        <w:rPr>
          <w:rFonts w:cs="Times New Roman"/>
        </w:rPr>
        <w:t xml:space="preserve"> are </w:t>
      </w:r>
      <w:r>
        <w:rPr>
          <w:rFonts w:cs="Times New Roman"/>
        </w:rPr>
        <w:lastRenderedPageBreak/>
        <w:t>located in this section</w:t>
      </w:r>
      <w:r w:rsidRPr="00F84190">
        <w:rPr>
          <w:rFonts w:cs="Times New Roman"/>
        </w:rPr>
        <w:t>.</w:t>
      </w:r>
      <w:r>
        <w:rPr>
          <w:rFonts w:cs="Times New Roman"/>
        </w:rPr>
        <w:t xml:space="preserve"> This section consists of</w:t>
      </w:r>
      <w:r w:rsidRPr="00F84190">
        <w:rPr>
          <w:rFonts w:cs="Times New Roman"/>
        </w:rPr>
        <w:t xml:space="preserve"> residential </w:t>
      </w:r>
      <w:r>
        <w:rPr>
          <w:rFonts w:cs="Times New Roman"/>
        </w:rPr>
        <w:t>development and</w:t>
      </w:r>
      <w:r w:rsidRPr="00F84190">
        <w:rPr>
          <w:rFonts w:cs="Times New Roman"/>
        </w:rPr>
        <w:t xml:space="preserve"> undeveloped land. Data indicated no jobs and population density of 0.1 inhabitants per acre</w:t>
      </w:r>
      <w:r>
        <w:rPr>
          <w:rFonts w:cs="Times New Roman"/>
        </w:rPr>
        <w:t xml:space="preserve"> (600 residents)</w:t>
      </w:r>
      <w:r w:rsidRPr="00F84190">
        <w:rPr>
          <w:rFonts w:cs="Times New Roman"/>
        </w:rPr>
        <w:t xml:space="preserve">. </w:t>
      </w:r>
    </w:p>
    <w:p w:rsidR="00D927CF" w:rsidRPr="00F84190" w:rsidRDefault="00D927CF" w:rsidP="00D927CF">
      <w:pPr>
        <w:spacing w:after="60"/>
        <w:ind w:firstLine="144"/>
        <w:rPr>
          <w:rFonts w:cs="Times New Roman"/>
        </w:rPr>
      </w:pPr>
      <w:r>
        <w:rPr>
          <w:rFonts w:cs="Times New Roman"/>
          <w:b/>
        </w:rPr>
        <w:t xml:space="preserve"> “Within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More than 1 in every 10 households (</w:t>
      </w:r>
      <w:r w:rsidRPr="00F84190">
        <w:rPr>
          <w:rFonts w:cs="Times New Roman"/>
        </w:rPr>
        <w:t>16%</w:t>
      </w:r>
      <w:r>
        <w:rPr>
          <w:rFonts w:cs="Times New Roman"/>
        </w:rPr>
        <w:t xml:space="preserve">) </w:t>
      </w:r>
      <w:r w:rsidRPr="00F84190">
        <w:rPr>
          <w:rFonts w:cs="Times New Roman"/>
        </w:rPr>
        <w:t>do not o</w:t>
      </w:r>
      <w:r>
        <w:rPr>
          <w:rFonts w:cs="Times New Roman"/>
        </w:rPr>
        <w:t xml:space="preserve">wn a car. </w:t>
      </w:r>
      <w:r w:rsidRPr="002B636E">
        <w:rPr>
          <w:rFonts w:cs="Times New Roman"/>
        </w:rPr>
        <w:t xml:space="preserve">Potentially transportation disadvantaged populations in this section include </w:t>
      </w:r>
      <w:r>
        <w:rPr>
          <w:rFonts w:cs="Times New Roman"/>
        </w:rPr>
        <w:t>a</w:t>
      </w:r>
      <w:r w:rsidRPr="00F84190">
        <w:rPr>
          <w:rFonts w:cs="Times New Roman"/>
        </w:rPr>
        <w:t xml:space="preserve">bout 90 </w:t>
      </w:r>
      <w:r>
        <w:rPr>
          <w:rFonts w:cs="Times New Roman"/>
        </w:rPr>
        <w:t>residents</w:t>
      </w:r>
      <w:r w:rsidRPr="00F84190">
        <w:rPr>
          <w:rFonts w:cs="Times New Roman"/>
        </w:rPr>
        <w:t xml:space="preserve"> </w:t>
      </w:r>
      <w:r>
        <w:rPr>
          <w:rFonts w:cs="Times New Roman"/>
        </w:rPr>
        <w:t>living in poverty</w:t>
      </w:r>
      <w:r w:rsidRPr="00F84190">
        <w:rPr>
          <w:rFonts w:cs="Times New Roman"/>
        </w:rPr>
        <w:t xml:space="preserve">, </w:t>
      </w:r>
      <w:r>
        <w:rPr>
          <w:rFonts w:cs="Times New Roman"/>
        </w:rPr>
        <w:t>about</w:t>
      </w:r>
      <w:r w:rsidRPr="00F84190">
        <w:rPr>
          <w:rFonts w:cs="Times New Roman"/>
        </w:rPr>
        <w:t xml:space="preserve"> 10 </w:t>
      </w:r>
      <w:r>
        <w:rPr>
          <w:rFonts w:cs="Times New Roman"/>
        </w:rPr>
        <w:t xml:space="preserve">residents </w:t>
      </w:r>
      <w:r w:rsidRPr="00F84190">
        <w:rPr>
          <w:rFonts w:cs="Times New Roman"/>
        </w:rPr>
        <w:t>are minority (non-Hispanic), more than 60</w:t>
      </w:r>
      <w:r>
        <w:rPr>
          <w:rFonts w:cs="Times New Roman"/>
        </w:rPr>
        <w:t xml:space="preserve"> residents are older than 65 years. Additionally, there are m</w:t>
      </w:r>
      <w:r w:rsidRPr="00F84190">
        <w:rPr>
          <w:rFonts w:cs="Times New Roman"/>
        </w:rPr>
        <w:t xml:space="preserve">ore than 30 of single-parent households and more than 30 households with limited English proficiency. High frequency transit service </w:t>
      </w:r>
      <w:r>
        <w:rPr>
          <w:rFonts w:cs="Times New Roman"/>
        </w:rPr>
        <w:t xml:space="preserve">is </w:t>
      </w:r>
      <w:r w:rsidRPr="00F84190">
        <w:rPr>
          <w:rFonts w:cs="Times New Roman"/>
        </w:rPr>
        <w:t>not available. Location of county tran</w:t>
      </w:r>
      <w:r>
        <w:rPr>
          <w:rFonts w:cs="Times New Roman"/>
        </w:rPr>
        <w:t>sit stops was not available. E</w:t>
      </w:r>
      <w:r w:rsidRPr="00F84190">
        <w:rPr>
          <w:rFonts w:cs="Times New Roman"/>
        </w:rPr>
        <w:t>xisting bicycle infrastructure and information about planned bikeways in this section was not available. No bicycle parking at transit stops was observed.</w:t>
      </w:r>
    </w:p>
    <w:p w:rsidR="00D927CF" w:rsidRPr="00F84190" w:rsidRDefault="00D927CF" w:rsidP="00D927CF">
      <w:pPr>
        <w:spacing w:after="60"/>
        <w:ind w:firstLine="144"/>
        <w:rPr>
          <w:rFonts w:cs="Times New Roman"/>
        </w:rPr>
      </w:pPr>
      <w:r>
        <w:rPr>
          <w:rFonts w:cs="Times New Roman"/>
          <w:b/>
        </w:rPr>
        <w:t xml:space="preserve"> “Community to C</w:t>
      </w:r>
      <w:r w:rsidRPr="00F84190">
        <w:rPr>
          <w:rFonts w:cs="Times New Roman"/>
          <w:b/>
        </w:rPr>
        <w:t>ommunity</w:t>
      </w:r>
      <w:r>
        <w:rPr>
          <w:rFonts w:cs="Times New Roman"/>
          <w:b/>
        </w:rPr>
        <w:t>” Performance Evaluation</w:t>
      </w:r>
      <w:r w:rsidRPr="00F84190">
        <w:rPr>
          <w:rFonts w:cs="Times New Roman"/>
          <w:b/>
        </w:rPr>
        <w:t>:</w:t>
      </w:r>
      <w:r>
        <w:rPr>
          <w:rFonts w:cs="Times New Roman"/>
        </w:rPr>
        <w:t xml:space="preserve"> This section has a roadway density of 2 miles per square mile of land</w:t>
      </w:r>
      <w:r w:rsidRPr="00F84190">
        <w:rPr>
          <w:rFonts w:cs="Times New Roman"/>
        </w:rPr>
        <w:t xml:space="preserve"> and </w:t>
      </w:r>
      <w:r>
        <w:rPr>
          <w:rFonts w:cs="Times New Roman"/>
        </w:rPr>
        <w:t xml:space="preserve">a </w:t>
      </w:r>
      <w:r w:rsidRPr="00F84190">
        <w:rPr>
          <w:rFonts w:cs="Times New Roman"/>
        </w:rPr>
        <w:t xml:space="preserve">density of sidewalks </w:t>
      </w:r>
      <w:r>
        <w:rPr>
          <w:rFonts w:cs="Times New Roman"/>
        </w:rPr>
        <w:t xml:space="preserve">is </w:t>
      </w:r>
      <w:r w:rsidRPr="00F84190">
        <w:rPr>
          <w:rFonts w:cs="Times New Roman"/>
        </w:rPr>
        <w:t>unknow</w:t>
      </w:r>
      <w:r>
        <w:rPr>
          <w:rFonts w:cs="Times New Roman"/>
        </w:rPr>
        <w:t>n. Jobs-Housing balance ratio is</w:t>
      </w:r>
      <w:r w:rsidRPr="00F84190">
        <w:rPr>
          <w:rFonts w:cs="Times New Roman"/>
        </w:rPr>
        <w:t xml:space="preserve"> 0.01</w:t>
      </w:r>
      <w:r>
        <w:rPr>
          <w:rFonts w:cs="Times New Roman"/>
        </w:rPr>
        <w:t>, which can classify as h</w:t>
      </w:r>
      <w:r w:rsidRPr="00F84190">
        <w:rPr>
          <w:rFonts w:cs="Times New Roman"/>
        </w:rPr>
        <w:t xml:space="preserve">ousing rich. Based on </w:t>
      </w:r>
      <w:proofErr w:type="spellStart"/>
      <w:r w:rsidRPr="00F84190">
        <w:rPr>
          <w:rFonts w:cs="Times New Roman"/>
        </w:rPr>
        <w:t>TxDOT</w:t>
      </w:r>
      <w:proofErr w:type="spellEnd"/>
      <w:r w:rsidRPr="00F84190">
        <w:rPr>
          <w:rFonts w:cs="Times New Roman"/>
        </w:rPr>
        <w:t xml:space="preserve"> statistics, in the last 5 years there was no crash that resulted in an incapacitating injury or a fatality of a pedestrian or cyclist. Traffic volume in this area produced daily 3 pounds of PM</w:t>
      </w:r>
      <w:r w:rsidRPr="00591CD7">
        <w:rPr>
          <w:rFonts w:cs="Times New Roman"/>
          <w:vertAlign w:val="subscript"/>
        </w:rPr>
        <w:t>10</w:t>
      </w:r>
      <w:r w:rsidRPr="00F84190">
        <w:rPr>
          <w:rFonts w:cs="Times New Roman"/>
        </w:rPr>
        <w:t xml:space="preserve"> per acre.</w:t>
      </w:r>
    </w:p>
    <w:p w:rsidR="00D927CF" w:rsidRPr="00F84190" w:rsidRDefault="00D927CF" w:rsidP="00D927CF">
      <w:pPr>
        <w:spacing w:after="60"/>
        <w:ind w:firstLine="144"/>
        <w:rPr>
          <w:rFonts w:cs="Times New Roman"/>
        </w:rPr>
      </w:pPr>
      <w:r>
        <w:rPr>
          <w:rFonts w:cs="Times New Roman"/>
          <w:b/>
        </w:rPr>
        <w:t>“</w:t>
      </w:r>
      <w:r w:rsidRPr="00F84190">
        <w:rPr>
          <w:rFonts w:cs="Times New Roman"/>
          <w:b/>
        </w:rPr>
        <w:t xml:space="preserve">Community to </w:t>
      </w:r>
      <w:r>
        <w:rPr>
          <w:rFonts w:cs="Times New Roman"/>
          <w:b/>
        </w:rPr>
        <w:t>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Due to no existing bikeways in this section, the percentage of bus stops within 600 ft. is zero. The nearest park and ride lot is located outside of this section, at </w:t>
      </w:r>
      <w:proofErr w:type="spellStart"/>
      <w:r w:rsidRPr="00F84190">
        <w:rPr>
          <w:rFonts w:cs="Times New Roman"/>
        </w:rPr>
        <w:t>Edgemere</w:t>
      </w:r>
      <w:proofErr w:type="spellEnd"/>
      <w:r w:rsidRPr="00F84190">
        <w:rPr>
          <w:rFonts w:cs="Times New Roman"/>
        </w:rPr>
        <w:t>/RC Poe bus stop</w:t>
      </w:r>
      <w:r>
        <w:rPr>
          <w:rFonts w:cs="Times New Roman"/>
        </w:rPr>
        <w:t xml:space="preserve"> in Section 5</w:t>
      </w:r>
      <w:r w:rsidRPr="00F84190">
        <w:rPr>
          <w:rFonts w:cs="Times New Roman"/>
        </w:rPr>
        <w:t xml:space="preserve">. This section is not served by </w:t>
      </w:r>
      <w:r>
        <w:rPr>
          <w:rFonts w:cs="Times New Roman"/>
        </w:rPr>
        <w:t>Sun Metro</w:t>
      </w:r>
      <w:r w:rsidRPr="00F84190">
        <w:rPr>
          <w:rFonts w:cs="Times New Roman"/>
        </w:rPr>
        <w:t xml:space="preserve"> nor the El Paso County Transit. </w:t>
      </w:r>
      <w:r>
        <w:rPr>
          <w:rFonts w:cs="Times New Roman"/>
        </w:rPr>
        <w:t xml:space="preserve">About </w:t>
      </w:r>
      <w:r w:rsidRPr="00F84190">
        <w:rPr>
          <w:rFonts w:cs="Times New Roman"/>
        </w:rPr>
        <w:t xml:space="preserve">2% of workers commute by transit, 1% walk, 0% bike. Travel time index for passenger vehicles </w:t>
      </w:r>
      <w:r>
        <w:rPr>
          <w:rFonts w:cs="Times New Roman"/>
        </w:rPr>
        <w:t xml:space="preserve">is </w:t>
      </w:r>
      <w:r w:rsidRPr="00F84190">
        <w:rPr>
          <w:rFonts w:cs="Times New Roman"/>
        </w:rPr>
        <w:t>1.3</w:t>
      </w:r>
      <w:r>
        <w:rPr>
          <w:rFonts w:cs="Times New Roman"/>
        </w:rPr>
        <w:t>,</w:t>
      </w:r>
      <w:r w:rsidRPr="00224D63">
        <w:rPr>
          <w:rFonts w:cs="Times New Roman"/>
        </w:rPr>
        <w:t xml:space="preserve"> </w:t>
      </w:r>
      <w:r>
        <w:rPr>
          <w:rFonts w:cs="Times New Roman"/>
        </w:rPr>
        <w:t xml:space="preserve">indicating that a 10-minute trip can take up to 13 minutes during a peak hour. </w:t>
      </w:r>
      <w:r w:rsidRPr="00F84190">
        <w:rPr>
          <w:rFonts w:cs="Times New Roman"/>
        </w:rPr>
        <w:t xml:space="preserve">Based on </w:t>
      </w:r>
      <w:proofErr w:type="spellStart"/>
      <w:r w:rsidRPr="00F84190">
        <w:rPr>
          <w:rFonts w:cs="Times New Roman"/>
        </w:rPr>
        <w:t>TxDOT</w:t>
      </w:r>
      <w:proofErr w:type="spellEnd"/>
      <w:r w:rsidRPr="00F84190">
        <w:rPr>
          <w:rFonts w:cs="Times New Roman"/>
        </w:rPr>
        <w:t xml:space="preserve"> statistics, in the last 5 years there was no fatal crash and 3 incapacitating crashes.</w:t>
      </w:r>
    </w:p>
    <w:p w:rsidR="00D927CF" w:rsidRPr="005A0EB1" w:rsidRDefault="00D927CF" w:rsidP="00D927CF">
      <w:pPr>
        <w:spacing w:after="60"/>
        <w:ind w:firstLine="144"/>
        <w:rPr>
          <w:rFonts w:cs="Times New Roman"/>
        </w:rPr>
      </w:pPr>
      <w:r>
        <w:rPr>
          <w:rFonts w:cs="Times New Roman"/>
          <w:b/>
        </w:rPr>
        <w:t>“Region to R</w:t>
      </w:r>
      <w:r w:rsidRPr="00F84190">
        <w:rPr>
          <w:rFonts w:cs="Times New Roman"/>
          <w:b/>
        </w:rPr>
        <w:t>egion</w:t>
      </w:r>
      <w:r>
        <w:rPr>
          <w:rFonts w:cs="Times New Roman"/>
          <w:b/>
        </w:rPr>
        <w:t>” Performance Evaluation</w:t>
      </w:r>
      <w:r w:rsidRPr="00F84190">
        <w:rPr>
          <w:rFonts w:cs="Times New Roman"/>
          <w:b/>
        </w:rPr>
        <w:t>:</w:t>
      </w:r>
      <w:r>
        <w:rPr>
          <w:rFonts w:cs="Times New Roman"/>
        </w:rPr>
        <w:t xml:space="preserve"> </w:t>
      </w:r>
      <w:r w:rsidRPr="00F84190">
        <w:rPr>
          <w:rFonts w:cs="Times New Roman"/>
        </w:rPr>
        <w:t xml:space="preserve">According to </w:t>
      </w:r>
      <w:r>
        <w:rPr>
          <w:rFonts w:cs="Times New Roman"/>
        </w:rPr>
        <w:t xml:space="preserve">the </w:t>
      </w:r>
      <w:r w:rsidRPr="00F84190">
        <w:rPr>
          <w:rFonts w:cs="Times New Roman"/>
        </w:rPr>
        <w:t>FHWA Highway Performance Management System, there are no pavements in poor condition</w:t>
      </w:r>
      <w:r>
        <w:rPr>
          <w:rFonts w:cs="Times New Roman"/>
        </w:rPr>
        <w:t>. Travel time index for trucks is</w:t>
      </w:r>
      <w:r w:rsidRPr="00F84190">
        <w:rPr>
          <w:rFonts w:cs="Times New Roman"/>
        </w:rPr>
        <w:t xml:space="preserve"> 1.3</w:t>
      </w:r>
      <w:r>
        <w:rPr>
          <w:rFonts w:cs="Times New Roman"/>
        </w:rPr>
        <w:t>,</w:t>
      </w:r>
      <w:r w:rsidRPr="00182A70">
        <w:rPr>
          <w:rFonts w:cs="Times New Roman"/>
        </w:rPr>
        <w:t xml:space="preserve"> </w:t>
      </w:r>
      <w:r>
        <w:rPr>
          <w:rFonts w:cs="Times New Roman"/>
        </w:rPr>
        <w:t>indicating that a 10-minute trip can take up to 13 minutes during a peak hour</w:t>
      </w:r>
      <w:r w:rsidRPr="00F84190">
        <w:rPr>
          <w:rFonts w:cs="Times New Roman"/>
        </w:rPr>
        <w:t>.</w:t>
      </w:r>
    </w:p>
    <w:p w:rsidR="00D927CF" w:rsidRPr="00F84190" w:rsidRDefault="00D927CF" w:rsidP="00D927CF">
      <w:pPr>
        <w:spacing w:before="240" w:after="60"/>
        <w:ind w:firstLine="144"/>
        <w:rPr>
          <w:rFonts w:cs="Times New Roman"/>
          <w:i/>
        </w:rPr>
      </w:pPr>
      <w:r>
        <w:rPr>
          <w:rFonts w:cs="Times New Roman"/>
          <w:i/>
        </w:rPr>
        <w:t>Overall Montana Ave. Corridor Assessment</w:t>
      </w:r>
    </w:p>
    <w:p w:rsidR="00D927CF" w:rsidRPr="00711976" w:rsidRDefault="00D927CF" w:rsidP="00D927CF">
      <w:pPr>
        <w:spacing w:after="60"/>
        <w:ind w:firstLine="144"/>
        <w:rPr>
          <w:rFonts w:cs="Times New Roman"/>
        </w:rPr>
      </w:pPr>
      <w:r>
        <w:rPr>
          <w:rFonts w:cs="Times New Roman"/>
        </w:rPr>
        <w:t>Montana Ave. is of major importance in the El Paso metropolitan planning area, because it provides a connection to the El Paso international airport, is a freight thoroughfare, and together with Interstate I-10 provides a connection between the rapidly growing Horizon City and the City of El Paso.</w:t>
      </w:r>
    </w:p>
    <w:p w:rsidR="00D927CF" w:rsidRDefault="00D927CF" w:rsidP="00D927CF">
      <w:pPr>
        <w:spacing w:after="60"/>
        <w:ind w:firstLine="144"/>
        <w:rPr>
          <w:rFonts w:cs="Times New Roman"/>
        </w:rPr>
      </w:pPr>
      <w:r>
        <w:rPr>
          <w:rFonts w:cs="Times New Roman"/>
        </w:rPr>
        <w:t>Overall, the case study results indicate that transportation mode choice reflects the availability and density of transportation infrastructure.  Desired performance targets have not been established, however the results indicate areas that are in need of improvement:</w:t>
      </w:r>
    </w:p>
    <w:p w:rsidR="00D927CF" w:rsidRDefault="00D927CF" w:rsidP="00D927CF">
      <w:pPr>
        <w:pStyle w:val="ListParagraph"/>
        <w:numPr>
          <w:ilvl w:val="0"/>
          <w:numId w:val="1"/>
        </w:numPr>
        <w:spacing w:after="60"/>
        <w:rPr>
          <w:sz w:val="22"/>
        </w:rPr>
      </w:pPr>
      <w:r>
        <w:rPr>
          <w:sz w:val="22"/>
        </w:rPr>
        <w:t>Transit low frequency: East of Hawkins Blvd. the headway between buses is 60 minutes and more.</w:t>
      </w:r>
    </w:p>
    <w:p w:rsidR="00D927CF" w:rsidRPr="00711976" w:rsidRDefault="00D927CF" w:rsidP="00D927CF">
      <w:pPr>
        <w:pStyle w:val="ListParagraph"/>
        <w:numPr>
          <w:ilvl w:val="0"/>
          <w:numId w:val="1"/>
        </w:numPr>
        <w:spacing w:after="60"/>
        <w:rPr>
          <w:sz w:val="22"/>
        </w:rPr>
      </w:pPr>
      <w:r>
        <w:rPr>
          <w:sz w:val="22"/>
        </w:rPr>
        <w:t xml:space="preserve">Scarce </w:t>
      </w:r>
      <w:r w:rsidRPr="00711976">
        <w:rPr>
          <w:sz w:val="22"/>
        </w:rPr>
        <w:t>safe opportunities for pedestrians to cross high-volume roadways</w:t>
      </w:r>
      <w:r>
        <w:rPr>
          <w:sz w:val="22"/>
        </w:rPr>
        <w:t>: Less than 30% of bus stops on busy roadways in each section are located within 150 ft. of a marked crosswalk).</w:t>
      </w:r>
    </w:p>
    <w:p w:rsidR="00D927CF" w:rsidRDefault="00D927CF" w:rsidP="00D927CF">
      <w:pPr>
        <w:pStyle w:val="ListParagraph"/>
        <w:numPr>
          <w:ilvl w:val="0"/>
          <w:numId w:val="1"/>
        </w:numPr>
        <w:spacing w:after="60"/>
        <w:rPr>
          <w:sz w:val="22"/>
        </w:rPr>
      </w:pPr>
      <w:r>
        <w:rPr>
          <w:sz w:val="22"/>
        </w:rPr>
        <w:t xml:space="preserve">Bikeways providing connections inconsistently throughout the corridor: While around 15% of the planned bikeways have been built between </w:t>
      </w:r>
      <w:proofErr w:type="spellStart"/>
      <w:r>
        <w:rPr>
          <w:sz w:val="22"/>
        </w:rPr>
        <w:t>Paisano</w:t>
      </w:r>
      <w:proofErr w:type="spellEnd"/>
      <w:r>
        <w:rPr>
          <w:sz w:val="22"/>
        </w:rPr>
        <w:t xml:space="preserve"> Dr. and Zaragoza Rd., there are no bikeways in Section 1 between </w:t>
      </w:r>
      <w:proofErr w:type="spellStart"/>
      <w:r>
        <w:rPr>
          <w:sz w:val="22"/>
        </w:rPr>
        <w:t>Piedras</w:t>
      </w:r>
      <w:proofErr w:type="spellEnd"/>
      <w:r>
        <w:rPr>
          <w:sz w:val="22"/>
        </w:rPr>
        <w:t xml:space="preserve"> St. and Section 6 and 7, east of Zaragoza Rd.</w:t>
      </w:r>
    </w:p>
    <w:p w:rsidR="00D927CF" w:rsidRDefault="00D927CF" w:rsidP="00D927CF">
      <w:pPr>
        <w:pStyle w:val="ListParagraph"/>
        <w:numPr>
          <w:ilvl w:val="0"/>
          <w:numId w:val="1"/>
        </w:numPr>
        <w:spacing w:after="60"/>
        <w:rPr>
          <w:sz w:val="22"/>
        </w:rPr>
      </w:pPr>
      <w:r>
        <w:rPr>
          <w:sz w:val="22"/>
        </w:rPr>
        <w:t>Missing sidewalks especially in the east of the corridor: Sidewalks are scarce east of Joe Battle Blvd. in Sections 5,6, and 7.</w:t>
      </w:r>
    </w:p>
    <w:p w:rsidR="00D927CF" w:rsidRDefault="00D927CF" w:rsidP="00D927CF">
      <w:pPr>
        <w:pStyle w:val="ListParagraph"/>
        <w:numPr>
          <w:ilvl w:val="0"/>
          <w:numId w:val="1"/>
        </w:numPr>
        <w:spacing w:after="60"/>
        <w:rPr>
          <w:sz w:val="22"/>
        </w:rPr>
      </w:pPr>
      <w:proofErr w:type="spellStart"/>
      <w:r>
        <w:rPr>
          <w:sz w:val="22"/>
        </w:rPr>
        <w:t>Disbalance</w:t>
      </w:r>
      <w:proofErr w:type="spellEnd"/>
      <w:r>
        <w:rPr>
          <w:sz w:val="22"/>
        </w:rPr>
        <w:t xml:space="preserve"> in housing and employment: Employment is scarce east of Hawkins Blvd in Sections 3,4,5,6, and 7.</w:t>
      </w:r>
    </w:p>
    <w:p w:rsidR="00D927CF" w:rsidRPr="00711976" w:rsidRDefault="00D927CF" w:rsidP="00D927CF">
      <w:pPr>
        <w:pStyle w:val="ListParagraph"/>
        <w:numPr>
          <w:ilvl w:val="0"/>
          <w:numId w:val="1"/>
        </w:numPr>
        <w:spacing w:after="60"/>
        <w:rPr>
          <w:sz w:val="22"/>
        </w:rPr>
      </w:pPr>
      <w:r>
        <w:rPr>
          <w:sz w:val="22"/>
        </w:rPr>
        <w:lastRenderedPageBreak/>
        <w:t xml:space="preserve">Crashes often occurring in the same area: Majority of serious injuries in years 2012-2016 occurred between </w:t>
      </w:r>
      <w:proofErr w:type="spellStart"/>
      <w:r>
        <w:rPr>
          <w:sz w:val="22"/>
        </w:rPr>
        <w:t>Paisano</w:t>
      </w:r>
      <w:proofErr w:type="spellEnd"/>
      <w:r>
        <w:rPr>
          <w:sz w:val="22"/>
        </w:rPr>
        <w:t xml:space="preserve"> Dr. and Joe Battle Blvd in Sections 2,3, and 4. While 3 of the 7 fatal crashes that occurred between 2012-2016 were in Section 5 between Tierra Este Rd. and Tiera </w:t>
      </w:r>
      <w:proofErr w:type="spellStart"/>
      <w:r>
        <w:rPr>
          <w:sz w:val="22"/>
        </w:rPr>
        <w:t>Dorada</w:t>
      </w:r>
      <w:proofErr w:type="spellEnd"/>
      <w:r>
        <w:rPr>
          <w:sz w:val="22"/>
        </w:rPr>
        <w:t>).</w:t>
      </w:r>
    </w:p>
    <w:p w:rsidR="00D927CF" w:rsidRDefault="00D927CF" w:rsidP="00D927CF"/>
    <w:sectPr w:rsidR="00D9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21366"/>
    <w:multiLevelType w:val="hybridMultilevel"/>
    <w:tmpl w:val="D7BA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3A52"/>
    <w:multiLevelType w:val="hybridMultilevel"/>
    <w:tmpl w:val="BA4C9F5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69"/>
    <w:rsid w:val="001112E5"/>
    <w:rsid w:val="00196939"/>
    <w:rsid w:val="00663918"/>
    <w:rsid w:val="0075609F"/>
    <w:rsid w:val="007F2742"/>
    <w:rsid w:val="00913469"/>
    <w:rsid w:val="00D927CF"/>
    <w:rsid w:val="00E54014"/>
    <w:rsid w:val="00F02159"/>
    <w:rsid w:val="00F3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76BC"/>
  <w15:chartTrackingRefBased/>
  <w15:docId w15:val="{399ADDA3-95A9-4A51-B974-36883A6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469"/>
    <w:rPr>
      <w:color w:val="0563C1" w:themeColor="hyperlink"/>
      <w:u w:val="single"/>
    </w:rPr>
  </w:style>
  <w:style w:type="paragraph" w:customStyle="1" w:styleId="Default">
    <w:name w:val="Default"/>
    <w:rsid w:val="00E540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D927CF"/>
    <w:pPr>
      <w:spacing w:after="200" w:line="240" w:lineRule="auto"/>
      <w:ind w:left="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D927CF"/>
    <w:rPr>
      <w:rFonts w:ascii="Times New Roman" w:hAnsi="Times New Roman"/>
      <w:sz w:val="24"/>
    </w:rPr>
  </w:style>
  <w:style w:type="paragraph" w:customStyle="1" w:styleId="TX">
    <w:name w:val="*TX"/>
    <w:basedOn w:val="Normal"/>
    <w:qFormat/>
    <w:rsid w:val="00D927CF"/>
    <w:pPr>
      <w:spacing w:after="0" w:line="260" w:lineRule="exact"/>
      <w:ind w:firstLine="210"/>
      <w:jc w:val="both"/>
    </w:pPr>
    <w:rPr>
      <w:rFonts w:ascii="Times New Roman" w:eastAsia="Times New Roman" w:hAnsi="Times New Roman" w:cs="Times New Roman"/>
      <w:szCs w:val="21"/>
    </w:rPr>
  </w:style>
  <w:style w:type="paragraph" w:customStyle="1" w:styleId="H1">
    <w:name w:val="*H1"/>
    <w:basedOn w:val="Normal"/>
    <w:next w:val="Normal"/>
    <w:qFormat/>
    <w:rsid w:val="00D927CF"/>
    <w:pPr>
      <w:spacing w:before="380" w:after="140" w:line="260" w:lineRule="exact"/>
    </w:pPr>
    <w:rPr>
      <w:rFonts w:ascii="Arial Black" w:eastAsia="Times New Roman" w:hAnsi="Arial Black" w:cs="Times New Roman"/>
      <w:color w:val="999999"/>
      <w:sz w:val="24"/>
      <w:szCs w:val="20"/>
    </w:rPr>
  </w:style>
  <w:style w:type="table" w:styleId="TableGrid">
    <w:name w:val="Table Grid"/>
    <w:basedOn w:val="TableNormal"/>
    <w:uiPriority w:val="59"/>
    <w:rsid w:val="00F34A8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census.gov/newsroom/blogs/random-samplings/2011/07/what-are-census-block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4272</Words>
  <Characters>24353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City of El Paso</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2018-04-04T14:17:00Z</dcterms:created>
  <dcterms:modified xsi:type="dcterms:W3CDTF">2018-04-04T15:06:00Z</dcterms:modified>
</cp:coreProperties>
</file>