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58" w:type="dxa"/>
        <w:tblLayout w:type="fixed"/>
        <w:tblLook w:val="04A0" w:firstRow="1" w:lastRow="0" w:firstColumn="1" w:lastColumn="0" w:noHBand="0" w:noVBand="1"/>
      </w:tblPr>
      <w:tblGrid>
        <w:gridCol w:w="1638"/>
        <w:gridCol w:w="1777"/>
        <w:gridCol w:w="900"/>
        <w:gridCol w:w="7175"/>
        <w:gridCol w:w="2768"/>
      </w:tblGrid>
      <w:tr w:rsidR="00F37051" w:rsidRPr="00F37051" w14:paraId="73CCFE56" w14:textId="77777777" w:rsidTr="006A36D5">
        <w:trPr>
          <w:trHeight w:val="683"/>
        </w:trPr>
        <w:tc>
          <w:tcPr>
            <w:tcW w:w="1638" w:type="dxa"/>
          </w:tcPr>
          <w:p w14:paraId="5B91BE2E" w14:textId="77777777" w:rsidR="00F37051" w:rsidRPr="00F37051" w:rsidRDefault="00F37051">
            <w:pPr>
              <w:rPr>
                <w:rFonts w:cstheme="minorHAnsi"/>
              </w:rPr>
            </w:pPr>
            <w:r w:rsidRPr="00F37051">
              <w:rPr>
                <w:rFonts w:cstheme="minorHAnsi"/>
              </w:rPr>
              <w:t>Method</w:t>
            </w:r>
          </w:p>
        </w:tc>
        <w:tc>
          <w:tcPr>
            <w:tcW w:w="1777" w:type="dxa"/>
          </w:tcPr>
          <w:p w14:paraId="0139C9B9" w14:textId="5F69D9CA" w:rsidR="00F37051" w:rsidRPr="00F37051" w:rsidRDefault="00100BBA">
            <w:pPr>
              <w:rPr>
                <w:rFonts w:cstheme="minorHAnsi"/>
              </w:rPr>
            </w:pPr>
            <w:r>
              <w:rPr>
                <w:rFonts w:cstheme="minorHAnsi"/>
              </w:rPr>
              <w:t>Type/data</w:t>
            </w:r>
          </w:p>
        </w:tc>
        <w:tc>
          <w:tcPr>
            <w:tcW w:w="900" w:type="dxa"/>
          </w:tcPr>
          <w:p w14:paraId="20FC7DF9" w14:textId="4BDECAFD" w:rsidR="00F37051" w:rsidRPr="00F37051" w:rsidRDefault="00F37051">
            <w:pPr>
              <w:rPr>
                <w:rFonts w:cstheme="minorHAnsi"/>
              </w:rPr>
            </w:pPr>
            <w:r w:rsidRPr="00F37051">
              <w:rPr>
                <w:rFonts w:cstheme="minorHAnsi"/>
              </w:rPr>
              <w:t>Output</w:t>
            </w:r>
          </w:p>
        </w:tc>
        <w:tc>
          <w:tcPr>
            <w:tcW w:w="7175" w:type="dxa"/>
          </w:tcPr>
          <w:p w14:paraId="7DA4E3D8" w14:textId="7C8334CF" w:rsidR="00F37051" w:rsidRPr="00F37051" w:rsidRDefault="00F37051">
            <w:pPr>
              <w:rPr>
                <w:rFonts w:cstheme="minorHAnsi"/>
              </w:rPr>
            </w:pPr>
            <w:r w:rsidRPr="00F37051">
              <w:rPr>
                <w:rFonts w:cstheme="minorHAnsi"/>
              </w:rPr>
              <w:t>Notes</w:t>
            </w:r>
          </w:p>
        </w:tc>
        <w:tc>
          <w:tcPr>
            <w:tcW w:w="2768" w:type="dxa"/>
          </w:tcPr>
          <w:p w14:paraId="39C5C96C" w14:textId="4735175D" w:rsidR="00F37051" w:rsidRPr="00F37051" w:rsidRDefault="00081AE2">
            <w:pPr>
              <w:rPr>
                <w:rFonts w:cstheme="minorHAnsi"/>
              </w:rPr>
            </w:pPr>
            <w:r>
              <w:rPr>
                <w:rFonts w:cstheme="minorHAnsi"/>
              </w:rPr>
              <w:t>refs</w:t>
            </w:r>
          </w:p>
        </w:tc>
      </w:tr>
      <w:tr w:rsidR="00F37051" w:rsidRPr="00F37051" w14:paraId="22BE581D" w14:textId="77777777" w:rsidTr="006A36D5">
        <w:trPr>
          <w:trHeight w:val="221"/>
        </w:trPr>
        <w:tc>
          <w:tcPr>
            <w:tcW w:w="1638" w:type="dxa"/>
          </w:tcPr>
          <w:p w14:paraId="1A461BBC" w14:textId="121CAF9E" w:rsidR="00F37051" w:rsidRPr="00F37051" w:rsidRDefault="00F37051">
            <w:pPr>
              <w:rPr>
                <w:rFonts w:cstheme="minorHAnsi"/>
              </w:rPr>
            </w:pPr>
            <w:r w:rsidRPr="00F37051">
              <w:rPr>
                <w:rFonts w:cstheme="minorHAnsi"/>
              </w:rPr>
              <w:t>Cox PH</w:t>
            </w:r>
          </w:p>
        </w:tc>
        <w:tc>
          <w:tcPr>
            <w:tcW w:w="1777" w:type="dxa"/>
          </w:tcPr>
          <w:p w14:paraId="0EA2C3C2" w14:textId="19668E77" w:rsidR="00F37051" w:rsidRPr="00F37051" w:rsidRDefault="00F37051">
            <w:pPr>
              <w:rPr>
                <w:rFonts w:cstheme="minorHAnsi"/>
              </w:rPr>
            </w:pPr>
            <w:r w:rsidRPr="00F37051">
              <w:rPr>
                <w:rFonts w:cstheme="minorHAnsi"/>
              </w:rPr>
              <w:t>Cause-specific</w:t>
            </w:r>
            <w:r w:rsidR="00100BBA">
              <w:rPr>
                <w:rFonts w:cstheme="minorHAnsi"/>
              </w:rPr>
              <w:t>, continuous surv time</w:t>
            </w:r>
          </w:p>
        </w:tc>
        <w:tc>
          <w:tcPr>
            <w:tcW w:w="900" w:type="dxa"/>
          </w:tcPr>
          <w:p w14:paraId="153C8F65" w14:textId="491C629A" w:rsidR="00F37051" w:rsidRPr="00F37051" w:rsidRDefault="00F37051">
            <w:pPr>
              <w:rPr>
                <w:rFonts w:cstheme="minorHAnsi"/>
              </w:rPr>
            </w:pPr>
            <w:r w:rsidRPr="00F37051">
              <w:rPr>
                <w:rFonts w:cstheme="minorHAnsi"/>
              </w:rPr>
              <w:t>HR</w:t>
            </w:r>
          </w:p>
        </w:tc>
        <w:tc>
          <w:tcPr>
            <w:tcW w:w="7175" w:type="dxa"/>
          </w:tcPr>
          <w:p w14:paraId="5217E1EA" w14:textId="77777777" w:rsidR="00F37051" w:rsidRDefault="00F37051">
            <w:pPr>
              <w:rPr>
                <w:rFonts w:cstheme="minorHAnsi"/>
              </w:rPr>
            </w:pPr>
            <w:r>
              <w:rPr>
                <w:rFonts w:cstheme="minorHAnsi"/>
              </w:rPr>
              <w:t>Censoring for competing risks – may violate noninformative censoring,</w:t>
            </w:r>
          </w:p>
          <w:p w14:paraId="62CA4852" w14:textId="77777777" w:rsidR="008917CC" w:rsidRDefault="008917CC">
            <w:pPr>
              <w:rPr>
                <w:rFonts w:cstheme="minorHAnsi"/>
              </w:rPr>
            </w:pPr>
          </w:p>
          <w:p w14:paraId="52B1C046" w14:textId="77777777" w:rsidR="008917CC" w:rsidRDefault="008917CC">
            <w:pPr>
              <w:rPr>
                <w:rFonts w:cstheme="minorHAnsi"/>
              </w:rPr>
            </w:pPr>
          </w:p>
          <w:p w14:paraId="3B338D26" w14:textId="054567F4" w:rsidR="00F37051" w:rsidRDefault="00F37051">
            <w:pPr>
              <w:rPr>
                <w:rFonts w:cstheme="minorHAnsi"/>
              </w:rPr>
            </w:pPr>
            <w:r>
              <w:rPr>
                <w:rFonts w:cstheme="minorHAnsi"/>
              </w:rPr>
              <w:t>KM used for survival function, 1-KM can be used for cumulative incidence function (CIF), if there are competing risks -&gt; upward bias of incidence estimation, KM estimates the prob of event in the absence of competing risks, that probability is larger t</w:t>
            </w:r>
            <w:r w:rsidR="00EB3463">
              <w:rPr>
                <w:rFonts w:cstheme="minorHAnsi"/>
              </w:rPr>
              <w:t>he probability in the presence of competing risks</w:t>
            </w:r>
          </w:p>
          <w:p w14:paraId="53FEEA64" w14:textId="77777777" w:rsidR="008917CC" w:rsidRDefault="008917CC">
            <w:pPr>
              <w:rPr>
                <w:rFonts w:cstheme="minorHAnsi"/>
              </w:rPr>
            </w:pPr>
          </w:p>
          <w:p w14:paraId="288F0E3E" w14:textId="082A25F5" w:rsidR="00265744" w:rsidRPr="00F37051" w:rsidRDefault="00265744">
            <w:pPr>
              <w:rPr>
                <w:rFonts w:cstheme="minorHAnsi"/>
              </w:rPr>
            </w:pPr>
            <w:r>
              <w:rPr>
                <w:rFonts w:cstheme="minorHAnsi"/>
              </w:rPr>
              <w:t>-model the cause-specific hazard rate, rate at which events occur over time</w:t>
            </w:r>
          </w:p>
        </w:tc>
        <w:tc>
          <w:tcPr>
            <w:tcW w:w="2768" w:type="dxa"/>
          </w:tcPr>
          <w:p w14:paraId="132237AB" w14:textId="77777777" w:rsidR="00F37051" w:rsidRPr="00F37051" w:rsidRDefault="00F37051">
            <w:pPr>
              <w:rPr>
                <w:rFonts w:cstheme="minorHAnsi"/>
              </w:rPr>
            </w:pPr>
          </w:p>
        </w:tc>
      </w:tr>
      <w:tr w:rsidR="00F37051" w:rsidRPr="00F37051" w14:paraId="7B60F077" w14:textId="77777777" w:rsidTr="006A36D5">
        <w:trPr>
          <w:trHeight w:val="231"/>
        </w:trPr>
        <w:tc>
          <w:tcPr>
            <w:tcW w:w="1638" w:type="dxa"/>
          </w:tcPr>
          <w:p w14:paraId="7B4724D4" w14:textId="55326048" w:rsidR="00F37051" w:rsidRPr="00F37051" w:rsidRDefault="00F37051">
            <w:pPr>
              <w:rPr>
                <w:rFonts w:cstheme="minorHAnsi"/>
              </w:rPr>
            </w:pPr>
            <w:r w:rsidRPr="00F37051">
              <w:rPr>
                <w:rFonts w:cstheme="minorHAnsi"/>
              </w:rPr>
              <w:t>Fine &amp; Gray</w:t>
            </w:r>
          </w:p>
        </w:tc>
        <w:tc>
          <w:tcPr>
            <w:tcW w:w="1777" w:type="dxa"/>
          </w:tcPr>
          <w:p w14:paraId="735CC01D" w14:textId="09E5ECD8" w:rsidR="00F37051" w:rsidRPr="00F37051" w:rsidRDefault="00100BBA">
            <w:pPr>
              <w:rPr>
                <w:rFonts w:cstheme="minorHAnsi"/>
              </w:rPr>
            </w:pPr>
            <w:r w:rsidRPr="00F37051">
              <w:rPr>
                <w:rFonts w:cstheme="minorHAnsi"/>
              </w:rPr>
              <w:t>S</w:t>
            </w:r>
            <w:r w:rsidR="00F37051" w:rsidRPr="00F37051">
              <w:rPr>
                <w:rFonts w:cstheme="minorHAnsi"/>
              </w:rPr>
              <w:t>ubdistribution</w:t>
            </w:r>
            <w:r>
              <w:rPr>
                <w:rFonts w:cstheme="minorHAnsi"/>
              </w:rPr>
              <w:t>, continuous survival time</w:t>
            </w:r>
          </w:p>
        </w:tc>
        <w:tc>
          <w:tcPr>
            <w:tcW w:w="900" w:type="dxa"/>
          </w:tcPr>
          <w:p w14:paraId="48431657" w14:textId="61D67EF2" w:rsidR="00F37051" w:rsidRPr="00F37051" w:rsidRDefault="00F37051">
            <w:pPr>
              <w:rPr>
                <w:rFonts w:cstheme="minorHAnsi"/>
              </w:rPr>
            </w:pPr>
            <w:r w:rsidRPr="00F37051">
              <w:rPr>
                <w:rFonts w:cstheme="minorHAnsi"/>
              </w:rPr>
              <w:t>sHR</w:t>
            </w:r>
          </w:p>
        </w:tc>
        <w:tc>
          <w:tcPr>
            <w:tcW w:w="7175" w:type="dxa"/>
          </w:tcPr>
          <w:p w14:paraId="4B413B6F" w14:textId="77777777" w:rsidR="00F37051" w:rsidRDefault="00F37051">
            <w:pPr>
              <w:rPr>
                <w:rFonts w:cstheme="minorHAnsi"/>
              </w:rPr>
            </w:pPr>
            <w:r>
              <w:rPr>
                <w:rFonts w:cstheme="minorHAnsi"/>
              </w:rPr>
              <w:t>-</w:t>
            </w:r>
            <w:r w:rsidRPr="00F37051">
              <w:rPr>
                <w:rFonts w:cstheme="minorHAnsi"/>
              </w:rPr>
              <w:t>The direction of the subdistribution hazard ratio describes the direction of the effect of the covariate on the risk or incidence of the outcome, but not the magnitude of this effect</w:t>
            </w:r>
          </w:p>
          <w:p w14:paraId="4A8544A5" w14:textId="6620BBCE" w:rsidR="00265744" w:rsidRDefault="00265744" w:rsidP="00265744">
            <w:pPr>
              <w:rPr>
                <w:rFonts w:cstheme="minorHAnsi"/>
              </w:rPr>
            </w:pPr>
          </w:p>
          <w:p w14:paraId="1A330744" w14:textId="2CF96E9E" w:rsidR="00265744" w:rsidRDefault="00265744" w:rsidP="00265744">
            <w:pPr>
              <w:rPr>
                <w:rFonts w:cstheme="minorHAnsi"/>
              </w:rPr>
            </w:pPr>
            <w:r>
              <w:rPr>
                <w:rFonts w:cstheme="minorHAnsi"/>
              </w:rPr>
              <w:t>-model the cumulative incidence function</w:t>
            </w:r>
            <w:r w:rsidR="006A36D5">
              <w:rPr>
                <w:rFonts w:cstheme="minorHAnsi"/>
              </w:rPr>
              <w:t xml:space="preserve"> (</w:t>
            </w:r>
            <w:proofErr w:type="spellStart"/>
            <w:proofErr w:type="gramStart"/>
            <w:r w:rsidR="006A36D5">
              <w:rPr>
                <w:rFonts w:cstheme="minorHAnsi"/>
              </w:rPr>
              <w:t>ie</w:t>
            </w:r>
            <w:proofErr w:type="spellEnd"/>
            <w:proofErr w:type="gramEnd"/>
            <w:r w:rsidR="006A36D5">
              <w:rPr>
                <w:rFonts w:cstheme="minorHAnsi"/>
              </w:rPr>
              <w:t xml:space="preserve"> the </w:t>
            </w:r>
            <w:r>
              <w:rPr>
                <w:rFonts w:cstheme="minorHAnsi"/>
              </w:rPr>
              <w:t>cumulative incidence of event occurring</w:t>
            </w:r>
            <w:r w:rsidR="006A36D5">
              <w:rPr>
                <w:rFonts w:cstheme="minorHAnsi"/>
              </w:rPr>
              <w:t>)</w:t>
            </w:r>
          </w:p>
          <w:p w14:paraId="6989B4D1" w14:textId="77777777" w:rsidR="006A36D5" w:rsidRDefault="006A36D5" w:rsidP="00265744">
            <w:pPr>
              <w:rPr>
                <w:rFonts w:cstheme="minorHAnsi"/>
              </w:rPr>
            </w:pPr>
          </w:p>
          <w:p w14:paraId="09C0423A" w14:textId="7815707F" w:rsidR="00265744" w:rsidRDefault="00265744" w:rsidP="00265744">
            <w:pPr>
              <w:rPr>
                <w:rFonts w:cstheme="minorHAnsi"/>
              </w:rPr>
            </w:pPr>
            <w:r>
              <w:rPr>
                <w:rFonts w:cstheme="minorHAnsi"/>
              </w:rPr>
              <w:t xml:space="preserve">-cumulative incidence of event by specific time depends on accumulated hazards over time of both events of interest and the competing event  </w:t>
            </w:r>
          </w:p>
          <w:p w14:paraId="2ECCF233" w14:textId="77777777" w:rsidR="00265744" w:rsidRPr="00265744" w:rsidRDefault="00265744" w:rsidP="00265744">
            <w:pPr>
              <w:rPr>
                <w:rFonts w:cstheme="minorHAnsi"/>
              </w:rPr>
            </w:pPr>
          </w:p>
          <w:p w14:paraId="3973E709" w14:textId="77777777" w:rsidR="006A36D5" w:rsidRDefault="00EB3463">
            <w:pPr>
              <w:rPr>
                <w:rFonts w:cstheme="minorHAnsi"/>
              </w:rPr>
            </w:pPr>
            <w:r>
              <w:rPr>
                <w:rFonts w:cstheme="minorHAnsi"/>
              </w:rPr>
              <w:t>“</w:t>
            </w:r>
            <w:r w:rsidRPr="00EB3463">
              <w:rPr>
                <w:rFonts w:cstheme="minorHAnsi"/>
              </w:rPr>
              <w:t xml:space="preserve">The Cumulative Incidence Function (CIF), as distinct from 1 – S(t), allows for estimation of the incidence of the occurrence of an event while taking competing risk into account. This allows one to estimate incidence in a population where all competing events must be accounted for in clinical decision making. </w:t>
            </w:r>
          </w:p>
          <w:p w14:paraId="10E9AEC3" w14:textId="77777777" w:rsidR="006A36D5" w:rsidRDefault="006A36D5">
            <w:pPr>
              <w:rPr>
                <w:rFonts w:cstheme="minorHAnsi"/>
              </w:rPr>
            </w:pPr>
          </w:p>
          <w:p w14:paraId="31337297" w14:textId="2E731B43" w:rsidR="00EB3463" w:rsidRDefault="00EB3463">
            <w:pPr>
              <w:rPr>
                <w:rFonts w:cstheme="minorHAnsi"/>
              </w:rPr>
            </w:pPr>
            <w:r w:rsidRPr="00EB3463">
              <w:rPr>
                <w:rFonts w:cstheme="minorHAnsi"/>
              </w:rPr>
              <w:t>The cumulative incidence function for the kth cause is defined as: CIFk(t) = Pr(T ≤ t,D = k), where D is a variable denoting the type of event that occurred. A key point is that, in the competing risks setting, only 1 event type can occur, such that the occurrence of 1 event precludes the subsequent occurrence of other event types.</w:t>
            </w:r>
            <w:r>
              <w:rPr>
                <w:rFonts w:cstheme="minorHAnsi"/>
              </w:rPr>
              <w:t>” Austin, Lee, Fine 2016</w:t>
            </w:r>
          </w:p>
          <w:p w14:paraId="63C408B5" w14:textId="77777777" w:rsidR="00430A35" w:rsidRDefault="00430A35">
            <w:pPr>
              <w:rPr>
                <w:rFonts w:cstheme="minorHAnsi"/>
              </w:rPr>
            </w:pPr>
          </w:p>
          <w:p w14:paraId="413EE75B" w14:textId="77777777" w:rsidR="00430A35" w:rsidRDefault="00430A35">
            <w:pPr>
              <w:rPr>
                <w:rFonts w:cstheme="minorHAnsi"/>
              </w:rPr>
            </w:pPr>
            <w:r w:rsidRPr="00430A35">
              <w:rPr>
                <w:rFonts w:cstheme="minorHAnsi"/>
              </w:rPr>
              <w:t>Fine and Gray (1999) proposed a Cox type regression model for the subdistribution hazard. This gives a model where the complementary log-log transformed cumulative incidence function is linear in the covariates, i.e. g(x) = log(−log(1−x)) in (4). They used inverse probability of censoring weighting of the ordinary proportional hazards estimating equations with modified risk sets for inference from right-censored data.</w:t>
            </w:r>
            <w:r>
              <w:rPr>
                <w:rFonts w:cstheme="minorHAnsi"/>
              </w:rPr>
              <w:t xml:space="preserve"> Eriksson 2015 Biometrics</w:t>
            </w:r>
          </w:p>
          <w:p w14:paraId="64A6656D" w14:textId="77777777" w:rsidR="00265744" w:rsidRDefault="00265744">
            <w:pPr>
              <w:rPr>
                <w:rFonts w:cstheme="minorHAnsi"/>
              </w:rPr>
            </w:pPr>
          </w:p>
          <w:p w14:paraId="34C84C03" w14:textId="77777777" w:rsidR="00265744" w:rsidRDefault="00265744">
            <w:pPr>
              <w:rPr>
                <w:rFonts w:cstheme="minorHAnsi"/>
              </w:rPr>
            </w:pPr>
            <w:r w:rsidRPr="00265744">
              <w:rPr>
                <w:rFonts w:cstheme="minorHAnsi"/>
                <w:noProof/>
              </w:rPr>
              <w:drawing>
                <wp:inline distT="0" distB="0" distL="0" distR="0" wp14:anchorId="1CC3BC19" wp14:editId="1C13DE2E">
                  <wp:extent cx="4418965" cy="1541145"/>
                  <wp:effectExtent l="0" t="0" r="635" b="1905"/>
                  <wp:docPr id="170559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0529" name=""/>
                          <pic:cNvPicPr/>
                        </pic:nvPicPr>
                        <pic:blipFill>
                          <a:blip r:embed="rId5"/>
                          <a:stretch>
                            <a:fillRect/>
                          </a:stretch>
                        </pic:blipFill>
                        <pic:spPr>
                          <a:xfrm>
                            <a:off x="0" y="0"/>
                            <a:ext cx="4418965" cy="1541145"/>
                          </a:xfrm>
                          <a:prstGeom prst="rect">
                            <a:avLst/>
                          </a:prstGeom>
                        </pic:spPr>
                      </pic:pic>
                    </a:graphicData>
                  </a:graphic>
                </wp:inline>
              </w:drawing>
            </w:r>
          </w:p>
          <w:p w14:paraId="69CD90CA" w14:textId="77777777" w:rsidR="00265744" w:rsidRDefault="00265744">
            <w:pPr>
              <w:rPr>
                <w:rFonts w:cstheme="minorHAnsi"/>
              </w:rPr>
            </w:pPr>
            <w:r>
              <w:rPr>
                <w:rFonts w:cstheme="minorHAnsi"/>
              </w:rPr>
              <w:t>Subdistribution hazard model ~ CIF regression model</w:t>
            </w:r>
          </w:p>
          <w:p w14:paraId="78FF25A2" w14:textId="62EA995B" w:rsidR="00265744" w:rsidRPr="00F37051" w:rsidRDefault="00265744" w:rsidP="00265744">
            <w:pPr>
              <w:ind w:left="720" w:hanging="720"/>
              <w:rPr>
                <w:rFonts w:cstheme="minorHAnsi"/>
              </w:rPr>
            </w:pPr>
            <w:r>
              <w:rPr>
                <w:rFonts w:cstheme="minorHAnsi"/>
              </w:rPr>
              <w:t xml:space="preserve">-esstimate effects on CIF for the event of </w:t>
            </w:r>
            <w:proofErr w:type="spellStart"/>
            <w:r>
              <w:rPr>
                <w:rFonts w:cstheme="minorHAnsi"/>
              </w:rPr>
              <w:t>interestin</w:t>
            </w:r>
            <w:proofErr w:type="spellEnd"/>
          </w:p>
        </w:tc>
        <w:tc>
          <w:tcPr>
            <w:tcW w:w="2768" w:type="dxa"/>
          </w:tcPr>
          <w:p w14:paraId="1A1BB55C" w14:textId="77777777" w:rsidR="00F37051" w:rsidRDefault="00EB3463" w:rsidP="00EB3463">
            <w:pPr>
              <w:rPr>
                <w:rFonts w:cstheme="minorHAnsi"/>
              </w:rPr>
            </w:pPr>
            <w:r w:rsidRPr="00EB3463">
              <w:rPr>
                <w:rFonts w:cstheme="minorHAnsi"/>
              </w:rPr>
              <w:lastRenderedPageBreak/>
              <w:t>Introduction to the Analysis of Survival Data in the Presence of Competing Risks</w:t>
            </w:r>
            <w:r w:rsidR="00430A35">
              <w:rPr>
                <w:rFonts w:cstheme="minorHAnsi"/>
              </w:rPr>
              <w:t xml:space="preserve"> </w:t>
            </w:r>
            <w:r w:rsidRPr="00EB3463">
              <w:rPr>
                <w:rFonts w:cstheme="minorHAnsi"/>
              </w:rPr>
              <w:t xml:space="preserve">Peter C. Austin, Douglas S. </w:t>
            </w:r>
            <w:proofErr w:type="gramStart"/>
            <w:r w:rsidRPr="00EB3463">
              <w:rPr>
                <w:rFonts w:cstheme="minorHAnsi"/>
              </w:rPr>
              <w:t>Lee</w:t>
            </w:r>
            <w:proofErr w:type="gramEnd"/>
            <w:r w:rsidRPr="00EB3463">
              <w:rPr>
                <w:rFonts w:cstheme="minorHAnsi"/>
              </w:rPr>
              <w:t xml:space="preserve"> and Jason P. Fine</w:t>
            </w:r>
            <w:r w:rsidR="00430A35">
              <w:rPr>
                <w:rFonts w:cstheme="minorHAnsi"/>
              </w:rPr>
              <w:t xml:space="preserve"> </w:t>
            </w:r>
            <w:r w:rsidRPr="00EB3463">
              <w:rPr>
                <w:rFonts w:cstheme="minorHAnsi"/>
              </w:rPr>
              <w:t>Circulation. 2016</w:t>
            </w:r>
          </w:p>
          <w:p w14:paraId="65CE61BA" w14:textId="77777777" w:rsidR="00430A35" w:rsidRDefault="00430A35" w:rsidP="00EB3463">
            <w:pPr>
              <w:rPr>
                <w:rFonts w:cstheme="minorHAnsi"/>
              </w:rPr>
            </w:pPr>
          </w:p>
          <w:p w14:paraId="6F53C2B1" w14:textId="2DFAD750" w:rsidR="00430A35" w:rsidRPr="00F37051" w:rsidRDefault="00430A35" w:rsidP="00EB3463">
            <w:pPr>
              <w:rPr>
                <w:rFonts w:cstheme="minorHAnsi"/>
              </w:rPr>
            </w:pPr>
            <w:r w:rsidRPr="00430A35">
              <w:rPr>
                <w:rFonts w:cstheme="minorHAnsi"/>
              </w:rPr>
              <w:t>Austin PC, Fine JP. Practical recommendations for reporting Fine-Gray model analyses for competing risk data. Stat Med. 2017</w:t>
            </w:r>
            <w:r w:rsidR="00265744">
              <w:rPr>
                <w:rFonts w:cstheme="minorHAnsi"/>
              </w:rPr>
              <w:t xml:space="preserve"> </w:t>
            </w:r>
            <w:hyperlink r:id="rId6" w:anchor=":~:text=The%20direction%20of%20the%20subdistribution,the%20magnitude%20of%20this%20effect" w:history="1">
              <w:r w:rsidR="00265744" w:rsidRPr="000B0AD5">
                <w:rPr>
                  <w:rStyle w:val="Hyperlink"/>
                  <w:rFonts w:cstheme="minorHAnsi"/>
                </w:rPr>
                <w:t>https://www.ncbi.nlm.nih.gov/pmc/articles/PMC5698744/#:~:text=The%20direction%20of%20the%20subdistribution,the%20magnitude%20of%20this%20effect</w:t>
              </w:r>
            </w:hyperlink>
            <w:r w:rsidR="00265744" w:rsidRPr="00265744">
              <w:rPr>
                <w:rFonts w:cstheme="minorHAnsi"/>
              </w:rPr>
              <w:t>.</w:t>
            </w:r>
            <w:r w:rsidR="00265744">
              <w:rPr>
                <w:rFonts w:cstheme="minorHAnsi"/>
              </w:rPr>
              <w:t xml:space="preserve"> </w:t>
            </w:r>
          </w:p>
        </w:tc>
      </w:tr>
      <w:tr w:rsidR="00F37051" w:rsidRPr="00F37051" w14:paraId="55ED7C94" w14:textId="77777777" w:rsidTr="006A36D5">
        <w:trPr>
          <w:trHeight w:val="2959"/>
        </w:trPr>
        <w:tc>
          <w:tcPr>
            <w:tcW w:w="1638" w:type="dxa"/>
          </w:tcPr>
          <w:p w14:paraId="63E56CF6" w14:textId="77777777" w:rsidR="00F37051" w:rsidRDefault="00F37051">
            <w:pPr>
              <w:rPr>
                <w:rFonts w:cstheme="minorHAnsi"/>
              </w:rPr>
            </w:pPr>
            <w:r w:rsidRPr="00F37051">
              <w:rPr>
                <w:rFonts w:cstheme="minorHAnsi"/>
              </w:rPr>
              <w:t>Multinomial logistic regression</w:t>
            </w:r>
          </w:p>
          <w:p w14:paraId="45FA5293" w14:textId="77777777" w:rsidR="00100BBA" w:rsidRDefault="00100BBA">
            <w:pPr>
              <w:rPr>
                <w:rFonts w:cstheme="minorHAnsi"/>
              </w:rPr>
            </w:pPr>
          </w:p>
          <w:p w14:paraId="50F60249" w14:textId="517CC1D1" w:rsidR="00100BBA" w:rsidRPr="00F37051" w:rsidRDefault="00100BBA">
            <w:pPr>
              <w:rPr>
                <w:rFonts w:cstheme="minorHAnsi"/>
              </w:rPr>
            </w:pPr>
            <w:r>
              <w:rPr>
                <w:rFonts w:cstheme="minorHAnsi"/>
              </w:rPr>
              <w:t xml:space="preserve">Baseline category logit model </w:t>
            </w:r>
          </w:p>
        </w:tc>
        <w:tc>
          <w:tcPr>
            <w:tcW w:w="1777" w:type="dxa"/>
          </w:tcPr>
          <w:p w14:paraId="08C28A82" w14:textId="7A5F5C4E" w:rsidR="00F37051" w:rsidRPr="00F37051" w:rsidRDefault="00F37051">
            <w:pPr>
              <w:rPr>
                <w:rFonts w:cstheme="minorHAnsi"/>
              </w:rPr>
            </w:pPr>
            <w:r w:rsidRPr="00F37051">
              <w:rPr>
                <w:rFonts w:cstheme="minorHAnsi"/>
              </w:rPr>
              <w:t>Cause-specific</w:t>
            </w:r>
            <w:r w:rsidR="00100BBA">
              <w:rPr>
                <w:rFonts w:cstheme="minorHAnsi"/>
              </w:rPr>
              <w:t>, discrete survival time, person-period data</w:t>
            </w:r>
          </w:p>
        </w:tc>
        <w:tc>
          <w:tcPr>
            <w:tcW w:w="900" w:type="dxa"/>
          </w:tcPr>
          <w:p w14:paraId="360DE43C" w14:textId="77777777" w:rsidR="00F37051" w:rsidRDefault="00F37051">
            <w:pPr>
              <w:rPr>
                <w:rFonts w:cstheme="minorHAnsi"/>
              </w:rPr>
            </w:pPr>
            <w:r w:rsidRPr="00F37051">
              <w:rPr>
                <w:rFonts w:cstheme="minorHAnsi"/>
              </w:rPr>
              <w:t>Odds ratio</w:t>
            </w:r>
          </w:p>
          <w:p w14:paraId="54BE6628" w14:textId="77777777" w:rsidR="006A36D5" w:rsidRDefault="00F90995">
            <w:pPr>
              <w:rPr>
                <w:rFonts w:cstheme="minorHAnsi"/>
              </w:rPr>
            </w:pPr>
            <w:r>
              <w:rPr>
                <w:rFonts w:cstheme="minorHAnsi"/>
              </w:rPr>
              <w:t xml:space="preserve"> </w:t>
            </w:r>
          </w:p>
          <w:p w14:paraId="2A48447E" w14:textId="6070717B" w:rsidR="00F90995" w:rsidRPr="00F37051" w:rsidRDefault="00F90995">
            <w:pPr>
              <w:rPr>
                <w:rFonts w:cstheme="minorHAnsi"/>
              </w:rPr>
            </w:pPr>
            <w:r>
              <w:rPr>
                <w:rFonts w:cstheme="minorHAnsi"/>
              </w:rPr>
              <w:t>Cause-specific log odds</w:t>
            </w:r>
          </w:p>
        </w:tc>
        <w:tc>
          <w:tcPr>
            <w:tcW w:w="7175" w:type="dxa"/>
          </w:tcPr>
          <w:p w14:paraId="669413C4" w14:textId="77777777" w:rsidR="006A36D5" w:rsidRDefault="00081AE2" w:rsidP="00100BBA">
            <w:pPr>
              <w:rPr>
                <w:rFonts w:cstheme="minorHAnsi"/>
              </w:rPr>
            </w:pPr>
            <w:r w:rsidRPr="00081AE2">
              <w:rPr>
                <w:rFonts w:cstheme="minorHAnsi"/>
              </w:rPr>
              <w:t xml:space="preserve">In the literature, there exists a variety of models for discrete time-to-event data, see e.g., Tutz and Schmid (2016). </w:t>
            </w:r>
          </w:p>
          <w:p w14:paraId="4C9738F2" w14:textId="77777777" w:rsidR="006A36D5" w:rsidRDefault="006A36D5" w:rsidP="00100BBA">
            <w:pPr>
              <w:rPr>
                <w:rFonts w:cstheme="minorHAnsi"/>
              </w:rPr>
            </w:pPr>
          </w:p>
          <w:p w14:paraId="69D38D2D" w14:textId="59C74462" w:rsidR="00F37051" w:rsidRDefault="00081AE2" w:rsidP="00100BBA">
            <w:pPr>
              <w:rPr>
                <w:rFonts w:cstheme="minorHAnsi"/>
              </w:rPr>
            </w:pPr>
            <w:r w:rsidRPr="00081AE2">
              <w:rPr>
                <w:rFonts w:cstheme="minorHAnsi"/>
              </w:rPr>
              <w:t>A common approach for discrete competing risks analysis is to model the cause-specific discrete hazard function P(T=t,ϵ=j|T≥t,x)</w:t>
            </w:r>
            <w:r w:rsidRPr="00081AE2">
              <w:rPr>
                <w:rFonts w:ascii="Tahoma" w:hAnsi="Tahoma" w:cs="Tahoma"/>
              </w:rPr>
              <w:t>⁠</w:t>
            </w:r>
            <w:r w:rsidRPr="00081AE2">
              <w:rPr>
                <w:rFonts w:cstheme="minorHAnsi"/>
              </w:rPr>
              <w:t>, t=1,</w:t>
            </w:r>
            <w:proofErr w:type="gramStart"/>
            <w:r w:rsidRPr="00081AE2">
              <w:rPr>
                <w:rFonts w:cstheme="minorHAnsi"/>
              </w:rPr>
              <w:t>2,…</w:t>
            </w:r>
            <w:proofErr w:type="gramEnd"/>
            <w:r w:rsidRPr="00081AE2">
              <w:rPr>
                <w:rFonts w:ascii="Tahoma" w:hAnsi="Tahoma" w:cs="Tahoma"/>
              </w:rPr>
              <w:t>⁠</w:t>
            </w:r>
            <w:r w:rsidRPr="00081AE2">
              <w:rPr>
                <w:rFonts w:cstheme="minorHAnsi"/>
              </w:rPr>
              <w:t xml:space="preserve">, by use of a regression model for multi-categorical response (Tutz, 1995). </w:t>
            </w:r>
          </w:p>
          <w:p w14:paraId="6FA76205" w14:textId="00D95BA7" w:rsidR="00100BBA" w:rsidRPr="00F37051" w:rsidRDefault="00100BBA" w:rsidP="00100BBA">
            <w:pPr>
              <w:rPr>
                <w:rFonts w:cstheme="minorHAnsi"/>
              </w:rPr>
            </w:pPr>
            <w:r w:rsidRPr="00100BBA">
              <w:rPr>
                <w:rFonts w:cstheme="minorHAnsi"/>
                <w:noProof/>
              </w:rPr>
              <w:drawing>
                <wp:inline distT="0" distB="0" distL="0" distR="0" wp14:anchorId="4CA9D886" wp14:editId="11EFB938">
                  <wp:extent cx="2076379" cy="1318260"/>
                  <wp:effectExtent l="0" t="0" r="635" b="0"/>
                  <wp:docPr id="7557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5579" name=""/>
                          <pic:cNvPicPr/>
                        </pic:nvPicPr>
                        <pic:blipFill>
                          <a:blip r:embed="rId7"/>
                          <a:stretch>
                            <a:fillRect/>
                          </a:stretch>
                        </pic:blipFill>
                        <pic:spPr>
                          <a:xfrm>
                            <a:off x="0" y="0"/>
                            <a:ext cx="2079170" cy="1320032"/>
                          </a:xfrm>
                          <a:prstGeom prst="rect">
                            <a:avLst/>
                          </a:prstGeom>
                        </pic:spPr>
                      </pic:pic>
                    </a:graphicData>
                  </a:graphic>
                </wp:inline>
              </w:drawing>
            </w:r>
            <w:r w:rsidR="00D564BF" w:rsidRPr="00D564BF">
              <w:rPr>
                <w:rFonts w:cstheme="minorHAnsi"/>
                <w:noProof/>
              </w:rPr>
              <w:drawing>
                <wp:inline distT="0" distB="0" distL="0" distR="0" wp14:anchorId="2D9DC373" wp14:editId="03416104">
                  <wp:extent cx="2038364" cy="1546860"/>
                  <wp:effectExtent l="0" t="0" r="0" b="0"/>
                  <wp:docPr id="174144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9342" name=""/>
                          <pic:cNvPicPr/>
                        </pic:nvPicPr>
                        <pic:blipFill>
                          <a:blip r:embed="rId8"/>
                          <a:stretch>
                            <a:fillRect/>
                          </a:stretch>
                        </pic:blipFill>
                        <pic:spPr>
                          <a:xfrm>
                            <a:off x="0" y="0"/>
                            <a:ext cx="2052566" cy="1557638"/>
                          </a:xfrm>
                          <a:prstGeom prst="rect">
                            <a:avLst/>
                          </a:prstGeom>
                        </pic:spPr>
                      </pic:pic>
                    </a:graphicData>
                  </a:graphic>
                </wp:inline>
              </w:drawing>
            </w:r>
          </w:p>
        </w:tc>
        <w:tc>
          <w:tcPr>
            <w:tcW w:w="2768" w:type="dxa"/>
          </w:tcPr>
          <w:p w14:paraId="7E1B5D41" w14:textId="77777777" w:rsidR="00F37051" w:rsidRDefault="00F37051">
            <w:pPr>
              <w:rPr>
                <w:rFonts w:cstheme="minorHAnsi"/>
              </w:rPr>
            </w:pPr>
            <w:r w:rsidRPr="00F37051">
              <w:rPr>
                <w:rFonts w:cstheme="minorHAnsi"/>
              </w:rPr>
              <w:t>Tutz, G. (1995). Competing risks models in discrete time with nominal or ordinal categories of response. Quality and Quantity 29, 405–420.</w:t>
            </w:r>
          </w:p>
          <w:p w14:paraId="6B2382F2" w14:textId="77777777" w:rsidR="00D564BF" w:rsidRDefault="00D564BF">
            <w:pPr>
              <w:rPr>
                <w:rFonts w:cstheme="minorHAnsi"/>
              </w:rPr>
            </w:pPr>
          </w:p>
          <w:p w14:paraId="17BE9C15" w14:textId="77777777" w:rsidR="00D564BF" w:rsidRPr="00D564BF" w:rsidRDefault="00D564BF" w:rsidP="00D564BF">
            <w:pPr>
              <w:rPr>
                <w:rFonts w:cstheme="minorHAnsi"/>
              </w:rPr>
            </w:pPr>
            <w:r w:rsidRPr="00D564BF">
              <w:rPr>
                <w:rFonts w:cstheme="minorHAnsi"/>
              </w:rPr>
              <w:t>Federico Ambrogi, Elia Biganzoli, Patrizia Boracchi,</w:t>
            </w:r>
          </w:p>
          <w:p w14:paraId="0676870E" w14:textId="77777777" w:rsidR="00D564BF" w:rsidRPr="00D564BF" w:rsidRDefault="00D564BF" w:rsidP="00D564BF">
            <w:pPr>
              <w:rPr>
                <w:rFonts w:cstheme="minorHAnsi"/>
              </w:rPr>
            </w:pPr>
            <w:r w:rsidRPr="00D564BF">
              <w:rPr>
                <w:rFonts w:cstheme="minorHAnsi"/>
              </w:rPr>
              <w:t>Estimating crude cumulative incidences through multinomial logit regression on discrete cause-specific hazards,</w:t>
            </w:r>
          </w:p>
          <w:p w14:paraId="0C27EB1F" w14:textId="77777777" w:rsidR="00D564BF" w:rsidRPr="00D564BF" w:rsidRDefault="00D564BF" w:rsidP="00D564BF">
            <w:pPr>
              <w:rPr>
                <w:rFonts w:cstheme="minorHAnsi"/>
              </w:rPr>
            </w:pPr>
            <w:r w:rsidRPr="00D564BF">
              <w:rPr>
                <w:rFonts w:cstheme="minorHAnsi"/>
              </w:rPr>
              <w:t>Computational Statistics &amp; Data Analysis,</w:t>
            </w:r>
          </w:p>
          <w:p w14:paraId="7273BF3A" w14:textId="77777777" w:rsidR="00D564BF" w:rsidRPr="00D564BF" w:rsidRDefault="00D564BF" w:rsidP="00D564BF">
            <w:pPr>
              <w:rPr>
                <w:rFonts w:cstheme="minorHAnsi"/>
              </w:rPr>
            </w:pPr>
            <w:r w:rsidRPr="00D564BF">
              <w:rPr>
                <w:rFonts w:cstheme="minorHAnsi"/>
              </w:rPr>
              <w:t>Volume 53, Issue 7,</w:t>
            </w:r>
          </w:p>
          <w:p w14:paraId="51EE0C8A" w14:textId="77777777" w:rsidR="00D564BF" w:rsidRDefault="00D564BF" w:rsidP="00D564BF">
            <w:pPr>
              <w:rPr>
                <w:rFonts w:cstheme="minorHAnsi"/>
              </w:rPr>
            </w:pPr>
            <w:r w:rsidRPr="00D564BF">
              <w:rPr>
                <w:rFonts w:cstheme="minorHAnsi"/>
              </w:rPr>
              <w:t>2009</w:t>
            </w:r>
          </w:p>
          <w:p w14:paraId="622DCC8E" w14:textId="77777777" w:rsidR="00F90995" w:rsidRDefault="00F90995" w:rsidP="00F90995">
            <w:pPr>
              <w:rPr>
                <w:rFonts w:cstheme="minorHAnsi"/>
              </w:rPr>
            </w:pPr>
          </w:p>
          <w:p w14:paraId="3463F030" w14:textId="7902240C" w:rsidR="00F90995" w:rsidRDefault="00F90995" w:rsidP="00F90995">
            <w:pPr>
              <w:rPr>
                <w:rFonts w:cstheme="minorHAnsi"/>
              </w:rPr>
            </w:pPr>
            <w:r w:rsidRPr="00F37051">
              <w:rPr>
                <w:rFonts w:cstheme="minorHAnsi"/>
              </w:rPr>
              <w:t>Tutz, G. and Schmid, M. (2016). Modeling Discrete Time-to-Event Data. New York: Springer.</w:t>
            </w:r>
            <w:r>
              <w:rPr>
                <w:rFonts w:cstheme="minorHAnsi"/>
              </w:rPr>
              <w:t xml:space="preserve"> </w:t>
            </w:r>
            <w:hyperlink r:id="rId9" w:history="1">
              <w:r w:rsidRPr="000B0AD5">
                <w:rPr>
                  <w:rStyle w:val="Hyperlink"/>
                  <w:rFonts w:cstheme="minorHAnsi"/>
                </w:rPr>
                <w:t>https://link.springer.com/content/pdf/10.1007/978-3-319-28158-2.pdf</w:t>
              </w:r>
            </w:hyperlink>
            <w:r>
              <w:rPr>
                <w:rFonts w:cstheme="minorHAnsi"/>
              </w:rPr>
              <w:t xml:space="preserve"> </w:t>
            </w:r>
          </w:p>
          <w:p w14:paraId="03685E12" w14:textId="12ABC83A" w:rsidR="00F90995" w:rsidRPr="00F37051" w:rsidRDefault="00F90995" w:rsidP="00D564BF">
            <w:pPr>
              <w:rPr>
                <w:rFonts w:cstheme="minorHAnsi"/>
              </w:rPr>
            </w:pPr>
          </w:p>
        </w:tc>
      </w:tr>
      <w:tr w:rsidR="00F37051" w:rsidRPr="00F37051" w14:paraId="7A9D5FFA" w14:textId="77777777" w:rsidTr="006A36D5">
        <w:trPr>
          <w:trHeight w:val="2043"/>
        </w:trPr>
        <w:tc>
          <w:tcPr>
            <w:tcW w:w="1638" w:type="dxa"/>
          </w:tcPr>
          <w:p w14:paraId="12D121C5" w14:textId="5C02A92A" w:rsidR="00F37051" w:rsidRPr="00F37051" w:rsidRDefault="00F37051">
            <w:pPr>
              <w:rPr>
                <w:rFonts w:cstheme="minorHAnsi"/>
              </w:rPr>
            </w:pPr>
            <w:r w:rsidRPr="00F37051">
              <w:rPr>
                <w:rFonts w:cstheme="minorHAnsi"/>
              </w:rPr>
              <w:lastRenderedPageBreak/>
              <w:t>Proportional odds model</w:t>
            </w:r>
            <w:r w:rsidR="00757710">
              <w:rPr>
                <w:rFonts w:cstheme="minorHAnsi"/>
              </w:rPr>
              <w:t>/ complementary log-log</w:t>
            </w:r>
          </w:p>
        </w:tc>
        <w:tc>
          <w:tcPr>
            <w:tcW w:w="1777" w:type="dxa"/>
          </w:tcPr>
          <w:p w14:paraId="7C093A89" w14:textId="215EC727" w:rsidR="00F37051" w:rsidRPr="00F37051" w:rsidRDefault="00F37051">
            <w:pPr>
              <w:rPr>
                <w:rFonts w:cstheme="minorHAnsi"/>
              </w:rPr>
            </w:pPr>
            <w:r w:rsidRPr="00F37051">
              <w:rPr>
                <w:rFonts w:cstheme="minorHAnsi"/>
              </w:rPr>
              <w:t>Cause-specific</w:t>
            </w:r>
            <w:r w:rsidR="00100BBA">
              <w:rPr>
                <w:rFonts w:cstheme="minorHAnsi"/>
              </w:rPr>
              <w:t>, discrete surv time</w:t>
            </w:r>
          </w:p>
        </w:tc>
        <w:tc>
          <w:tcPr>
            <w:tcW w:w="900" w:type="dxa"/>
          </w:tcPr>
          <w:p w14:paraId="07BBAC3C" w14:textId="1B314ED6" w:rsidR="00F37051" w:rsidRPr="00F37051" w:rsidRDefault="00D564BF">
            <w:pPr>
              <w:rPr>
                <w:rFonts w:cstheme="minorHAnsi"/>
              </w:rPr>
            </w:pPr>
            <w:r>
              <w:rPr>
                <w:rFonts w:cstheme="minorHAnsi"/>
              </w:rPr>
              <w:t>HR</w:t>
            </w:r>
          </w:p>
          <w:p w14:paraId="09178DE9" w14:textId="77777777" w:rsidR="00F37051" w:rsidRPr="00F37051" w:rsidRDefault="00F37051" w:rsidP="006D50D9">
            <w:pPr>
              <w:rPr>
                <w:rFonts w:cstheme="minorHAnsi"/>
              </w:rPr>
            </w:pPr>
          </w:p>
        </w:tc>
        <w:tc>
          <w:tcPr>
            <w:tcW w:w="7175" w:type="dxa"/>
          </w:tcPr>
          <w:p w14:paraId="640CC835" w14:textId="77777777" w:rsidR="00F37051" w:rsidRDefault="00757710">
            <w:pPr>
              <w:rPr>
                <w:rFonts w:cstheme="minorHAnsi"/>
              </w:rPr>
            </w:pPr>
            <w:r>
              <w:rPr>
                <w:rFonts w:cstheme="minorHAnsi"/>
              </w:rPr>
              <w:t>Discrete time analog to proportional hazards with continuous time</w:t>
            </w:r>
          </w:p>
          <w:p w14:paraId="498D6DB9" w14:textId="4DAA1D17" w:rsidR="00757710" w:rsidRPr="00F37051" w:rsidRDefault="00D564BF">
            <w:pPr>
              <w:rPr>
                <w:rFonts w:cstheme="minorHAnsi"/>
              </w:rPr>
            </w:pPr>
            <w:r>
              <w:rPr>
                <w:rFonts w:cstheme="minorHAnsi"/>
              </w:rPr>
              <w:t>similar to logit results when events rare</w:t>
            </w:r>
          </w:p>
        </w:tc>
        <w:tc>
          <w:tcPr>
            <w:tcW w:w="2768" w:type="dxa"/>
          </w:tcPr>
          <w:p w14:paraId="40100F91" w14:textId="77777777" w:rsidR="00430A35" w:rsidRDefault="00430A35">
            <w:pPr>
              <w:rPr>
                <w:rFonts w:cstheme="minorHAnsi"/>
              </w:rPr>
            </w:pPr>
          </w:p>
          <w:p w14:paraId="51B72899" w14:textId="2A15CC0C" w:rsidR="00430A35" w:rsidRPr="00F37051" w:rsidRDefault="00430A35">
            <w:pPr>
              <w:rPr>
                <w:rFonts w:cstheme="minorHAnsi"/>
              </w:rPr>
            </w:pPr>
            <w:r w:rsidRPr="00430A35">
              <w:rPr>
                <w:rFonts w:cstheme="minorHAnsi"/>
              </w:rPr>
              <w:t xml:space="preserve">Eriksson F, Li J, Scheike T, Zhang MJ. The proportional odds cumulative incidence model for competing risks. Biometrics. 2015 </w:t>
            </w:r>
          </w:p>
        </w:tc>
      </w:tr>
      <w:tr w:rsidR="00F37051" w:rsidRPr="00F37051" w14:paraId="01F78579" w14:textId="77777777" w:rsidTr="006A36D5">
        <w:trPr>
          <w:trHeight w:val="1719"/>
        </w:trPr>
        <w:tc>
          <w:tcPr>
            <w:tcW w:w="1638" w:type="dxa"/>
          </w:tcPr>
          <w:p w14:paraId="0277F754" w14:textId="0A1B8284" w:rsidR="00F37051" w:rsidRPr="00F37051" w:rsidRDefault="00F37051">
            <w:pPr>
              <w:rPr>
                <w:rFonts w:cstheme="minorHAnsi"/>
              </w:rPr>
            </w:pPr>
            <w:r w:rsidRPr="00F37051">
              <w:rPr>
                <w:rFonts w:cstheme="minorHAnsi"/>
              </w:rPr>
              <w:t>Discrete-time subdistribution hazard function</w:t>
            </w:r>
          </w:p>
        </w:tc>
        <w:tc>
          <w:tcPr>
            <w:tcW w:w="1777" w:type="dxa"/>
          </w:tcPr>
          <w:p w14:paraId="4F580E95" w14:textId="1B815AAA" w:rsidR="00F37051" w:rsidRPr="00F37051" w:rsidRDefault="00F37051">
            <w:pPr>
              <w:rPr>
                <w:rFonts w:cstheme="minorHAnsi"/>
              </w:rPr>
            </w:pPr>
            <w:r w:rsidRPr="00F37051">
              <w:rPr>
                <w:rFonts w:cstheme="minorHAnsi"/>
              </w:rPr>
              <w:t>Subdistribution</w:t>
            </w:r>
            <w:r w:rsidR="00100BBA">
              <w:rPr>
                <w:rFonts w:cstheme="minorHAnsi"/>
              </w:rPr>
              <w:t>, discrete survival time, person-period data</w:t>
            </w:r>
          </w:p>
        </w:tc>
        <w:tc>
          <w:tcPr>
            <w:tcW w:w="900" w:type="dxa"/>
          </w:tcPr>
          <w:p w14:paraId="00344566" w14:textId="03462405" w:rsidR="00F37051" w:rsidRPr="00F37051" w:rsidRDefault="00100BBA">
            <w:pPr>
              <w:rPr>
                <w:rFonts w:cstheme="minorHAnsi"/>
              </w:rPr>
            </w:pPr>
            <w:r>
              <w:rPr>
                <w:rFonts w:cstheme="minorHAnsi"/>
              </w:rPr>
              <w:t>sHR</w:t>
            </w:r>
          </w:p>
        </w:tc>
        <w:tc>
          <w:tcPr>
            <w:tcW w:w="7175" w:type="dxa"/>
          </w:tcPr>
          <w:p w14:paraId="40DD1DD0" w14:textId="77777777" w:rsidR="00F37051" w:rsidRDefault="00F37051">
            <w:pPr>
              <w:rPr>
                <w:rFonts w:cstheme="minorHAnsi"/>
              </w:rPr>
            </w:pPr>
            <w:r w:rsidRPr="00F37051">
              <w:rPr>
                <w:rFonts w:cstheme="minorHAnsi"/>
              </w:rPr>
              <w:t>Model discrete cumulative inc. function w/ right censored data, weighted binomial regression – based on censorship survival function</w:t>
            </w:r>
          </w:p>
          <w:p w14:paraId="2393A6DB" w14:textId="56189306" w:rsidR="00100BBA" w:rsidRPr="00F37051" w:rsidRDefault="00100BBA">
            <w:pPr>
              <w:rPr>
                <w:rFonts w:cstheme="minorHAnsi"/>
              </w:rPr>
            </w:pPr>
            <w:r>
              <w:rPr>
                <w:rFonts w:cstheme="minorHAnsi"/>
              </w:rPr>
              <w:t>Model in terms of subdistribution hazard function for event of interest</w:t>
            </w:r>
          </w:p>
          <w:p w14:paraId="5BEB90F1" w14:textId="77777777" w:rsidR="00F37051" w:rsidRDefault="00F37051" w:rsidP="006D50D9">
            <w:pPr>
              <w:pStyle w:val="ListParagraph"/>
              <w:numPr>
                <w:ilvl w:val="0"/>
                <w:numId w:val="1"/>
              </w:numPr>
              <w:rPr>
                <w:rFonts w:cstheme="minorHAnsi"/>
              </w:rPr>
            </w:pPr>
            <w:r w:rsidRPr="00F37051">
              <w:rPr>
                <w:rFonts w:cstheme="minorHAnsi"/>
              </w:rPr>
              <w:t>Weighted ML estimation for binary regression</w:t>
            </w:r>
          </w:p>
          <w:p w14:paraId="55C056D0" w14:textId="461B201B" w:rsidR="00757710" w:rsidRPr="00F37051" w:rsidRDefault="00757710" w:rsidP="006D50D9">
            <w:pPr>
              <w:pStyle w:val="ListParagraph"/>
              <w:numPr>
                <w:ilvl w:val="0"/>
                <w:numId w:val="1"/>
              </w:numPr>
              <w:rPr>
                <w:rFonts w:cstheme="minorHAnsi"/>
              </w:rPr>
            </w:pPr>
            <w:r>
              <w:rPr>
                <w:rFonts w:cstheme="minorHAnsi"/>
              </w:rPr>
              <w:t xml:space="preserve">Life-table estimates of censoring survival function – applies it to those who experience competing event </w:t>
            </w:r>
          </w:p>
        </w:tc>
        <w:tc>
          <w:tcPr>
            <w:tcW w:w="2768" w:type="dxa"/>
          </w:tcPr>
          <w:p w14:paraId="4ECF4E31" w14:textId="73CE8128" w:rsidR="00F37051" w:rsidRPr="00F37051" w:rsidRDefault="00F37051">
            <w:pPr>
              <w:rPr>
                <w:rFonts w:cstheme="minorHAnsi"/>
              </w:rPr>
            </w:pPr>
            <w:r w:rsidRPr="00F37051">
              <w:rPr>
                <w:rFonts w:cstheme="minorHAnsi"/>
                <w:color w:val="2A2A2A"/>
                <w:shd w:val="clear" w:color="auto" w:fill="FFFFFF"/>
              </w:rPr>
              <w:t>Moritz Berger </w:t>
            </w:r>
            <w:r w:rsidRPr="00F37051">
              <w:rPr>
                <w:rStyle w:val="al-author-delim"/>
                <w:rFonts w:cstheme="minorHAnsi"/>
                <w:color w:val="2A2A2A"/>
                <w:bdr w:val="none" w:sz="0" w:space="0" w:color="auto" w:frame="1"/>
                <w:shd w:val="clear" w:color="auto" w:fill="FFFFFF"/>
              </w:rPr>
              <w:t>and others</w:t>
            </w:r>
            <w:r w:rsidRPr="00F37051">
              <w:rPr>
                <w:rFonts w:cstheme="minorHAnsi"/>
                <w:color w:val="2A2A2A"/>
                <w:shd w:val="clear" w:color="auto" w:fill="FFFFFF"/>
              </w:rPr>
              <w:t>, Subdistribution hazard models for competing risks in discrete time, </w:t>
            </w:r>
            <w:r w:rsidRPr="00F37051">
              <w:rPr>
                <w:rStyle w:val="Emphasis"/>
                <w:rFonts w:cstheme="minorHAnsi"/>
                <w:color w:val="2A2A2A"/>
                <w:bdr w:val="none" w:sz="0" w:space="0" w:color="auto" w:frame="1"/>
                <w:shd w:val="clear" w:color="auto" w:fill="FFFFFF"/>
              </w:rPr>
              <w:t>Biostatistics</w:t>
            </w:r>
            <w:r w:rsidRPr="00F37051">
              <w:rPr>
                <w:rFonts w:cstheme="minorHAnsi"/>
                <w:color w:val="2A2A2A"/>
                <w:shd w:val="clear" w:color="auto" w:fill="FFFFFF"/>
              </w:rPr>
              <w:t>, Volume 21, Issue 3, July 2020, Pages 449–466,</w:t>
            </w:r>
          </w:p>
        </w:tc>
      </w:tr>
      <w:tr w:rsidR="00F37051" w:rsidRPr="00F37051" w14:paraId="6E35995E" w14:textId="77777777" w:rsidTr="006A36D5">
        <w:trPr>
          <w:trHeight w:val="121"/>
        </w:trPr>
        <w:tc>
          <w:tcPr>
            <w:tcW w:w="1638" w:type="dxa"/>
          </w:tcPr>
          <w:p w14:paraId="0FC81401" w14:textId="77777777" w:rsidR="00F37051" w:rsidRPr="00F37051" w:rsidRDefault="00F37051">
            <w:pPr>
              <w:rPr>
                <w:rFonts w:cstheme="minorHAnsi"/>
              </w:rPr>
            </w:pPr>
          </w:p>
        </w:tc>
        <w:tc>
          <w:tcPr>
            <w:tcW w:w="1777" w:type="dxa"/>
          </w:tcPr>
          <w:p w14:paraId="09B421D1" w14:textId="0FEFD071" w:rsidR="00F37051" w:rsidRPr="00F37051" w:rsidRDefault="00F37051">
            <w:pPr>
              <w:rPr>
                <w:rFonts w:cstheme="minorHAnsi"/>
              </w:rPr>
            </w:pPr>
          </w:p>
        </w:tc>
        <w:tc>
          <w:tcPr>
            <w:tcW w:w="900" w:type="dxa"/>
          </w:tcPr>
          <w:p w14:paraId="5E8202ED" w14:textId="77777777" w:rsidR="00F37051" w:rsidRPr="00F37051" w:rsidRDefault="00F37051">
            <w:pPr>
              <w:rPr>
                <w:rFonts w:cstheme="minorHAnsi"/>
              </w:rPr>
            </w:pPr>
          </w:p>
        </w:tc>
        <w:tc>
          <w:tcPr>
            <w:tcW w:w="7175" w:type="dxa"/>
          </w:tcPr>
          <w:p w14:paraId="57745FFA" w14:textId="77777777" w:rsidR="00F37051" w:rsidRPr="00F37051" w:rsidRDefault="00F37051">
            <w:pPr>
              <w:rPr>
                <w:rFonts w:cstheme="minorHAnsi"/>
              </w:rPr>
            </w:pPr>
          </w:p>
        </w:tc>
        <w:tc>
          <w:tcPr>
            <w:tcW w:w="2768" w:type="dxa"/>
          </w:tcPr>
          <w:p w14:paraId="2692F108" w14:textId="2D480FE2" w:rsidR="00F37051" w:rsidRPr="00F37051" w:rsidRDefault="00F37051">
            <w:pPr>
              <w:rPr>
                <w:rFonts w:cstheme="minorHAnsi"/>
              </w:rPr>
            </w:pPr>
          </w:p>
        </w:tc>
      </w:tr>
      <w:tr w:rsidR="00F37051" w:rsidRPr="00F37051" w14:paraId="24A8E721" w14:textId="77777777" w:rsidTr="006A36D5">
        <w:trPr>
          <w:trHeight w:val="231"/>
        </w:trPr>
        <w:tc>
          <w:tcPr>
            <w:tcW w:w="1638" w:type="dxa"/>
          </w:tcPr>
          <w:p w14:paraId="1949A6B5" w14:textId="77777777" w:rsidR="00F37051" w:rsidRPr="00F37051" w:rsidRDefault="00F37051">
            <w:pPr>
              <w:rPr>
                <w:rFonts w:cstheme="minorHAnsi"/>
              </w:rPr>
            </w:pPr>
          </w:p>
        </w:tc>
        <w:tc>
          <w:tcPr>
            <w:tcW w:w="1777" w:type="dxa"/>
          </w:tcPr>
          <w:p w14:paraId="398D3576" w14:textId="1DFE71DC" w:rsidR="00F37051" w:rsidRPr="00F37051" w:rsidRDefault="00F37051">
            <w:pPr>
              <w:rPr>
                <w:rFonts w:cstheme="minorHAnsi"/>
              </w:rPr>
            </w:pPr>
          </w:p>
        </w:tc>
        <w:tc>
          <w:tcPr>
            <w:tcW w:w="900" w:type="dxa"/>
          </w:tcPr>
          <w:p w14:paraId="7948C32F" w14:textId="77777777" w:rsidR="00F37051" w:rsidRPr="00F37051" w:rsidRDefault="00F37051">
            <w:pPr>
              <w:rPr>
                <w:rFonts w:cstheme="minorHAnsi"/>
              </w:rPr>
            </w:pPr>
          </w:p>
        </w:tc>
        <w:tc>
          <w:tcPr>
            <w:tcW w:w="7175" w:type="dxa"/>
          </w:tcPr>
          <w:p w14:paraId="5A029093" w14:textId="77777777" w:rsidR="00F37051" w:rsidRPr="00F37051" w:rsidRDefault="00F37051">
            <w:pPr>
              <w:rPr>
                <w:rFonts w:cstheme="minorHAnsi"/>
              </w:rPr>
            </w:pPr>
          </w:p>
        </w:tc>
        <w:tc>
          <w:tcPr>
            <w:tcW w:w="2768" w:type="dxa"/>
          </w:tcPr>
          <w:p w14:paraId="2F713271" w14:textId="77777777" w:rsidR="00F37051" w:rsidRPr="00F37051" w:rsidRDefault="00F37051">
            <w:pPr>
              <w:rPr>
                <w:rFonts w:cstheme="minorHAnsi"/>
              </w:rPr>
            </w:pPr>
          </w:p>
        </w:tc>
      </w:tr>
    </w:tbl>
    <w:p w14:paraId="7EB79ACD" w14:textId="77777777" w:rsidR="00E1601D" w:rsidRDefault="00E1601D">
      <w:pPr>
        <w:rPr>
          <w:rFonts w:cstheme="minorHAnsi"/>
        </w:rPr>
      </w:pPr>
    </w:p>
    <w:p w14:paraId="72DDCF08" w14:textId="19A88EFD" w:rsidR="00430A35" w:rsidRDefault="00430A35">
      <w:pPr>
        <w:rPr>
          <w:rFonts w:cstheme="minorHAnsi"/>
        </w:rPr>
      </w:pPr>
      <w:r>
        <w:rPr>
          <w:rFonts w:cstheme="minorHAnsi"/>
        </w:rPr>
        <w:t>Cause-specific hazard vs subdistribution hazard</w:t>
      </w:r>
    </w:p>
    <w:p w14:paraId="0B640753" w14:textId="2A19106B" w:rsidR="00430A35" w:rsidRDefault="00430A35">
      <w:pPr>
        <w:rPr>
          <w:rFonts w:cstheme="minorHAnsi"/>
        </w:rPr>
      </w:pPr>
      <w:r>
        <w:rPr>
          <w:rFonts w:cstheme="minorHAnsi"/>
        </w:rPr>
        <w:t>“</w:t>
      </w:r>
      <w:r w:rsidRPr="00430A35">
        <w:rPr>
          <w:rFonts w:cstheme="minorHAnsi"/>
        </w:rPr>
        <w:t>The cause‐specific hazard function for a given event type is the instantaneous rate of occurrence of the given type of event in subjects who are currently event‐free. The subdistribution hazard function, introduced by Fine and Gray, for a given type of event is defined as the instantaneous rate of occurrence of the given type of event in subjects who have not yet experienced an event of that type. Note that for the subdistribution hazard function, we are considering the rate of the event in those subjects who are either currently event‐free or who have previously experienced a competing event. The cause‐specific hazard model estimates the effect of covariates on the cause‐specific hazard function, while the Fine‐Gray subdistribution hazard model estimates the effect of covariates on the subdistribution hazard function.</w:t>
      </w:r>
      <w:r>
        <w:rPr>
          <w:rFonts w:cstheme="minorHAnsi"/>
        </w:rPr>
        <w:t>” Austin, Fine Stat Med 2017</w:t>
      </w:r>
    </w:p>
    <w:p w14:paraId="41325167" w14:textId="49B727C4" w:rsidR="00430A35" w:rsidRDefault="00757710">
      <w:pPr>
        <w:rPr>
          <w:rFonts w:cstheme="minorHAnsi"/>
        </w:rPr>
      </w:pPr>
      <w:r>
        <w:rPr>
          <w:rFonts w:cstheme="minorHAnsi"/>
        </w:rPr>
        <w:t xml:space="preserve">Columbia SPH </w:t>
      </w:r>
      <w:hyperlink r:id="rId10" w:history="1">
        <w:r w:rsidRPr="000B0AD5">
          <w:rPr>
            <w:rStyle w:val="Hyperlink"/>
            <w:rFonts w:cstheme="minorHAnsi"/>
          </w:rPr>
          <w:t>https://www.publichealth.columbia.edu/research/population-health-methods/competing-risk-analysis</w:t>
        </w:r>
      </w:hyperlink>
      <w:r>
        <w:rPr>
          <w:rFonts w:cstheme="minorHAnsi"/>
        </w:rPr>
        <w:t xml:space="preserve"> </w:t>
      </w:r>
    </w:p>
    <w:p w14:paraId="4F541C35" w14:textId="125C015F" w:rsidR="00757710" w:rsidRDefault="00757710">
      <w:pPr>
        <w:rPr>
          <w:rFonts w:cstheme="minorHAnsi"/>
        </w:rPr>
      </w:pPr>
      <w:r>
        <w:rPr>
          <w:rFonts w:cstheme="minorHAnsi"/>
        </w:rPr>
        <w:t xml:space="preserve">R </w:t>
      </w:r>
      <w:hyperlink r:id="rId11" w:history="1">
        <w:r w:rsidRPr="000B0AD5">
          <w:rPr>
            <w:rStyle w:val="Hyperlink"/>
            <w:rFonts w:cstheme="minorHAnsi"/>
          </w:rPr>
          <w:t>https://cran.r-project.org/web/views/Survival.html</w:t>
        </w:r>
      </w:hyperlink>
      <w:r>
        <w:rPr>
          <w:rFonts w:cstheme="minorHAnsi"/>
        </w:rPr>
        <w:t xml:space="preserve"> </w:t>
      </w:r>
    </w:p>
    <w:p w14:paraId="58DEC3B1" w14:textId="69A2F40B" w:rsidR="00D564BF" w:rsidRDefault="00D564BF">
      <w:pPr>
        <w:rPr>
          <w:rFonts w:cstheme="minorHAnsi"/>
        </w:rPr>
      </w:pPr>
      <w:r>
        <w:rPr>
          <w:rFonts w:cstheme="minorHAnsi"/>
        </w:rPr>
        <w:t xml:space="preserve">Mlogit/cloglog </w:t>
      </w:r>
      <w:hyperlink r:id="rId12" w:history="1">
        <w:r w:rsidRPr="000B0AD5">
          <w:rPr>
            <w:rStyle w:val="Hyperlink"/>
            <w:rFonts w:cstheme="minorHAnsi"/>
          </w:rPr>
          <w:t>https://www.iser.essex.ac.uk/wp-content/uploads/files/teaching/stephenj/ec968/pdfs/ec968st8.pdf</w:t>
        </w:r>
      </w:hyperlink>
      <w:r>
        <w:rPr>
          <w:rFonts w:cstheme="minorHAnsi"/>
        </w:rPr>
        <w:t xml:space="preserve"> </w:t>
      </w:r>
    </w:p>
    <w:p w14:paraId="74956FB7" w14:textId="20DB6B00" w:rsidR="006A36D5" w:rsidRDefault="006A36D5" w:rsidP="006A36D5">
      <w:pPr>
        <w:rPr>
          <w:rFonts w:cstheme="minorHAnsi"/>
        </w:rPr>
      </w:pPr>
      <w:r>
        <w:rPr>
          <w:rFonts w:cstheme="minorHAnsi"/>
        </w:rPr>
        <w:t>More on to use competing risks:</w:t>
      </w:r>
    </w:p>
    <w:p w14:paraId="58FFEB08" w14:textId="77777777" w:rsidR="006A36D5" w:rsidRDefault="006A36D5" w:rsidP="006A36D5">
      <w:pPr>
        <w:rPr>
          <w:rFonts w:cstheme="minorHAnsi"/>
        </w:rPr>
      </w:pPr>
      <w:r w:rsidRPr="006A36D5">
        <w:rPr>
          <w:rFonts w:cstheme="minorHAnsi"/>
        </w:rPr>
        <w:t>Marlies Noordzij</w:t>
      </w:r>
      <w:r>
        <w:rPr>
          <w:rFonts w:cstheme="minorHAnsi"/>
        </w:rPr>
        <w:t xml:space="preserve"> et al.</w:t>
      </w:r>
      <w:r w:rsidRPr="006A36D5">
        <w:rPr>
          <w:rFonts w:cstheme="minorHAnsi"/>
        </w:rPr>
        <w:t xml:space="preserve"> When do we need competing risks methods for survival analysis in nephrology?, Nephrology Dialysis Transplantation, Volume 28, Issue 11, November 2013, Pages 2670–2677,</w:t>
      </w:r>
      <w:r>
        <w:rPr>
          <w:rFonts w:cstheme="minorHAnsi"/>
        </w:rPr>
        <w:t xml:space="preserve"> </w:t>
      </w:r>
      <w:hyperlink r:id="rId13" w:history="1">
        <w:r w:rsidRPr="004B66A4">
          <w:rPr>
            <w:rStyle w:val="Hyperlink"/>
            <w:rFonts w:cstheme="minorHAnsi"/>
          </w:rPr>
          <w:t>https://academic.oup.com/ndt/article/28/11/2670/1823847</w:t>
        </w:r>
      </w:hyperlink>
      <w:r>
        <w:rPr>
          <w:rFonts w:cstheme="minorHAnsi"/>
        </w:rPr>
        <w:t xml:space="preserve"> </w:t>
      </w:r>
    </w:p>
    <w:p w14:paraId="52ED2470" w14:textId="2298BFB9" w:rsidR="006A36D5" w:rsidRDefault="006A36D5" w:rsidP="006A36D5">
      <w:pPr>
        <w:rPr>
          <w:rFonts w:cstheme="minorHAnsi"/>
        </w:rPr>
      </w:pPr>
      <w:r>
        <w:rPr>
          <w:rFonts w:cstheme="minorHAnsi"/>
        </w:rPr>
        <w:t xml:space="preserve">Highlights how inferences can change -&gt;&gt; </w:t>
      </w:r>
      <w:proofErr w:type="spellStart"/>
      <w:r w:rsidRPr="006A36D5">
        <w:rPr>
          <w:rFonts w:cstheme="minorHAnsi"/>
        </w:rPr>
        <w:t>Buzkova</w:t>
      </w:r>
      <w:proofErr w:type="spellEnd"/>
      <w:r w:rsidRPr="006A36D5">
        <w:rPr>
          <w:rFonts w:cstheme="minorHAnsi"/>
        </w:rPr>
        <w:t xml:space="preserve"> P. Competing risk of mortality in association studies of non-fatal events. </w:t>
      </w:r>
      <w:proofErr w:type="spellStart"/>
      <w:r w:rsidRPr="006A36D5">
        <w:rPr>
          <w:rFonts w:cstheme="minorHAnsi"/>
        </w:rPr>
        <w:t>PLoS</w:t>
      </w:r>
      <w:proofErr w:type="spellEnd"/>
      <w:r w:rsidRPr="006A36D5">
        <w:rPr>
          <w:rFonts w:cstheme="minorHAnsi"/>
        </w:rPr>
        <w:t xml:space="preserve"> One. 2021 Aug 13;16(8)</w:t>
      </w:r>
      <w:r>
        <w:rPr>
          <w:rFonts w:cstheme="minorHAnsi"/>
        </w:rPr>
        <w:t xml:space="preserve"> </w:t>
      </w:r>
    </w:p>
    <w:p w14:paraId="330C060D" w14:textId="57BFF298" w:rsidR="006A36D5" w:rsidRPr="00F37051" w:rsidRDefault="006A36D5">
      <w:pPr>
        <w:rPr>
          <w:rFonts w:cstheme="minorHAnsi"/>
        </w:rPr>
      </w:pPr>
    </w:p>
    <w:sectPr w:rsidR="006A36D5" w:rsidRPr="00F37051" w:rsidSect="003707C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A65"/>
    <w:multiLevelType w:val="hybridMultilevel"/>
    <w:tmpl w:val="75362F6C"/>
    <w:lvl w:ilvl="0" w:tplc="7A2ED2B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8675D64"/>
    <w:multiLevelType w:val="hybridMultilevel"/>
    <w:tmpl w:val="2E3868F8"/>
    <w:lvl w:ilvl="0" w:tplc="0C2A2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2093">
    <w:abstractNumId w:val="0"/>
  </w:num>
  <w:num w:numId="2" w16cid:durableId="908155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1CA"/>
    <w:rsid w:val="00081AE2"/>
    <w:rsid w:val="00100BBA"/>
    <w:rsid w:val="001501CA"/>
    <w:rsid w:val="001E5041"/>
    <w:rsid w:val="00265744"/>
    <w:rsid w:val="003707CA"/>
    <w:rsid w:val="00430A35"/>
    <w:rsid w:val="006A36D5"/>
    <w:rsid w:val="006D50D9"/>
    <w:rsid w:val="00757710"/>
    <w:rsid w:val="008917CC"/>
    <w:rsid w:val="009D1C55"/>
    <w:rsid w:val="00BA4620"/>
    <w:rsid w:val="00D564BF"/>
    <w:rsid w:val="00E1601D"/>
    <w:rsid w:val="00EB3463"/>
    <w:rsid w:val="00F37051"/>
    <w:rsid w:val="00F9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2842"/>
  <w15:docId w15:val="{999901AC-811F-4FB9-A549-340C5593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3707CA"/>
  </w:style>
  <w:style w:type="character" w:styleId="Emphasis">
    <w:name w:val="Emphasis"/>
    <w:basedOn w:val="DefaultParagraphFont"/>
    <w:uiPriority w:val="20"/>
    <w:qFormat/>
    <w:rsid w:val="003707CA"/>
    <w:rPr>
      <w:i/>
      <w:iCs/>
    </w:rPr>
  </w:style>
  <w:style w:type="paragraph" w:styleId="ListParagraph">
    <w:name w:val="List Paragraph"/>
    <w:basedOn w:val="Normal"/>
    <w:uiPriority w:val="34"/>
    <w:qFormat/>
    <w:rsid w:val="006D50D9"/>
    <w:pPr>
      <w:ind w:left="720"/>
      <w:contextualSpacing/>
    </w:pPr>
  </w:style>
  <w:style w:type="character" w:styleId="Hyperlink">
    <w:name w:val="Hyperlink"/>
    <w:basedOn w:val="DefaultParagraphFont"/>
    <w:uiPriority w:val="99"/>
    <w:unhideWhenUsed/>
    <w:rsid w:val="00757710"/>
    <w:rPr>
      <w:color w:val="0563C1" w:themeColor="hyperlink"/>
      <w:u w:val="single"/>
    </w:rPr>
  </w:style>
  <w:style w:type="character" w:styleId="UnresolvedMention">
    <w:name w:val="Unresolved Mention"/>
    <w:basedOn w:val="DefaultParagraphFont"/>
    <w:uiPriority w:val="99"/>
    <w:semiHidden/>
    <w:unhideWhenUsed/>
    <w:rsid w:val="00757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558709">
      <w:bodyDiv w:val="1"/>
      <w:marLeft w:val="0"/>
      <w:marRight w:val="0"/>
      <w:marTop w:val="0"/>
      <w:marBottom w:val="0"/>
      <w:divBdr>
        <w:top w:val="none" w:sz="0" w:space="0" w:color="auto"/>
        <w:left w:val="none" w:sz="0" w:space="0" w:color="auto"/>
        <w:bottom w:val="none" w:sz="0" w:space="0" w:color="auto"/>
        <w:right w:val="none" w:sz="0" w:space="0" w:color="auto"/>
      </w:divBdr>
      <w:divsChild>
        <w:div w:id="15085202">
          <w:marLeft w:val="0"/>
          <w:marRight w:val="0"/>
          <w:marTop w:val="0"/>
          <w:marBottom w:val="0"/>
          <w:divBdr>
            <w:top w:val="none" w:sz="0" w:space="0" w:color="auto"/>
            <w:left w:val="none" w:sz="0" w:space="0" w:color="auto"/>
            <w:bottom w:val="none" w:sz="0" w:space="0" w:color="auto"/>
            <w:right w:val="none" w:sz="0" w:space="0" w:color="auto"/>
          </w:divBdr>
        </w:div>
        <w:div w:id="96215105">
          <w:marLeft w:val="0"/>
          <w:marRight w:val="0"/>
          <w:marTop w:val="0"/>
          <w:marBottom w:val="0"/>
          <w:divBdr>
            <w:top w:val="none" w:sz="0" w:space="0" w:color="auto"/>
            <w:left w:val="none" w:sz="0" w:space="0" w:color="auto"/>
            <w:bottom w:val="none" w:sz="0" w:space="0" w:color="auto"/>
            <w:right w:val="none" w:sz="0" w:space="0" w:color="auto"/>
          </w:divBdr>
        </w:div>
        <w:div w:id="512305860">
          <w:marLeft w:val="0"/>
          <w:marRight w:val="0"/>
          <w:marTop w:val="0"/>
          <w:marBottom w:val="0"/>
          <w:divBdr>
            <w:top w:val="none" w:sz="0" w:space="0" w:color="auto"/>
            <w:left w:val="none" w:sz="0" w:space="0" w:color="auto"/>
            <w:bottom w:val="none" w:sz="0" w:space="0" w:color="auto"/>
            <w:right w:val="none" w:sz="0" w:space="0" w:color="auto"/>
          </w:divBdr>
        </w:div>
        <w:div w:id="558445187">
          <w:marLeft w:val="0"/>
          <w:marRight w:val="0"/>
          <w:marTop w:val="0"/>
          <w:marBottom w:val="0"/>
          <w:divBdr>
            <w:top w:val="none" w:sz="0" w:space="0" w:color="auto"/>
            <w:left w:val="none" w:sz="0" w:space="0" w:color="auto"/>
            <w:bottom w:val="none" w:sz="0" w:space="0" w:color="auto"/>
            <w:right w:val="none" w:sz="0" w:space="0" w:color="auto"/>
          </w:divBdr>
        </w:div>
        <w:div w:id="1110081501">
          <w:marLeft w:val="0"/>
          <w:marRight w:val="0"/>
          <w:marTop w:val="0"/>
          <w:marBottom w:val="0"/>
          <w:divBdr>
            <w:top w:val="none" w:sz="0" w:space="0" w:color="auto"/>
            <w:left w:val="none" w:sz="0" w:space="0" w:color="auto"/>
            <w:bottom w:val="none" w:sz="0" w:space="0" w:color="auto"/>
            <w:right w:val="none" w:sz="0" w:space="0" w:color="auto"/>
          </w:divBdr>
        </w:div>
        <w:div w:id="1199245246">
          <w:marLeft w:val="0"/>
          <w:marRight w:val="0"/>
          <w:marTop w:val="0"/>
          <w:marBottom w:val="0"/>
          <w:divBdr>
            <w:top w:val="none" w:sz="0" w:space="0" w:color="auto"/>
            <w:left w:val="none" w:sz="0" w:space="0" w:color="auto"/>
            <w:bottom w:val="none" w:sz="0" w:space="0" w:color="auto"/>
            <w:right w:val="none" w:sz="0" w:space="0" w:color="auto"/>
          </w:divBdr>
        </w:div>
        <w:div w:id="1717855848">
          <w:marLeft w:val="0"/>
          <w:marRight w:val="0"/>
          <w:marTop w:val="0"/>
          <w:marBottom w:val="0"/>
          <w:divBdr>
            <w:top w:val="none" w:sz="0" w:space="0" w:color="auto"/>
            <w:left w:val="none" w:sz="0" w:space="0" w:color="auto"/>
            <w:bottom w:val="none" w:sz="0" w:space="0" w:color="auto"/>
            <w:right w:val="none" w:sz="0" w:space="0" w:color="auto"/>
          </w:divBdr>
        </w:div>
        <w:div w:id="196885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cademic.oup.com/ndt/article/28/11/2670/182384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ser.essex.ac.uk/wp-content/uploads/files/teaching/stephenj/ec968/pdfs/ec968st8.pdf"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ncbi.nlm.nih.gov/pmc/articles/PMC5698744/" TargetMode="External"/><Relationship Id="rId11" Type="http://schemas.openxmlformats.org/officeDocument/2006/relationships/hyperlink" Target="https://cran.r-project.org/web/views/Survival.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ublichealth.columbia.edu/research/population-health-methods/competing-risk-analysis" TargetMode="External"/><Relationship Id="rId4" Type="http://schemas.openxmlformats.org/officeDocument/2006/relationships/webSettings" Target="webSettings.xml"/><Relationship Id="rId9" Type="http://schemas.openxmlformats.org/officeDocument/2006/relationships/hyperlink" Target="https://link.springer.com/content/pdf/10.1007/978-3-319-28158-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B74C10EADC841935532176FBA66B3" ma:contentTypeVersion="11" ma:contentTypeDescription="Create a new document." ma:contentTypeScope="" ma:versionID="040d327a3fa992dc5921fab614cfcdfa">
  <xsd:schema xmlns:xsd="http://www.w3.org/2001/XMLSchema" xmlns:xs="http://www.w3.org/2001/XMLSchema" xmlns:p="http://schemas.microsoft.com/office/2006/metadata/properties" xmlns:ns2="1777bd19-367d-43a8-b63b-b682da774230" xmlns:ns3="8a12a9b8-2d24-4ead-acb2-506f2e77b2df" targetNamespace="http://schemas.microsoft.com/office/2006/metadata/properties" ma:root="true" ma:fieldsID="c470a585ff9a43848cdb5e067e8c9306" ns2:_="" ns3:_="">
    <xsd:import namespace="1777bd19-367d-43a8-b63b-b682da774230"/>
    <xsd:import namespace="8a12a9b8-2d24-4ead-acb2-506f2e77b2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7bd19-367d-43a8-b63b-b682da7742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2a9b8-2d24-4ead-acb2-506f2e77b2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4cee6bb-88c1-4f7c-890c-40cf7181f5e3}" ma:internalName="TaxCatchAll" ma:showField="CatchAllData" ma:web="8a12a9b8-2d24-4ead-acb2-506f2e77b2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1EC512-B079-4F22-B1C8-E359751DBAC2}"/>
</file>

<file path=customXml/itemProps2.xml><?xml version="1.0" encoding="utf-8"?>
<ds:datastoreItem xmlns:ds="http://schemas.openxmlformats.org/officeDocument/2006/customXml" ds:itemID="{2B7E050B-BD19-4A0D-BDD7-00FC151B90AD}"/>
</file>

<file path=docProps/app.xml><?xml version="1.0" encoding="utf-8"?>
<Properties xmlns="http://schemas.openxmlformats.org/officeDocument/2006/extended-properties" xmlns:vt="http://schemas.openxmlformats.org/officeDocument/2006/docPropsVTypes">
  <Template>Normal</Template>
  <TotalTime>5813</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Bowring</dc:creator>
  <cp:keywords/>
  <dc:description/>
  <cp:lastModifiedBy>Mary Grace Bowring</cp:lastModifiedBy>
  <cp:revision>3</cp:revision>
  <dcterms:created xsi:type="dcterms:W3CDTF">2023-09-01T14:32:00Z</dcterms:created>
  <dcterms:modified xsi:type="dcterms:W3CDTF">2023-09-12T14:31:00Z</dcterms:modified>
</cp:coreProperties>
</file>