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B9" w:rsidRDefault="00906DDB" w:rsidP="00906DDB">
      <w:pPr>
        <w:pStyle w:val="Titre1"/>
      </w:pPr>
      <w:r>
        <w:t>Méthode d’évaluation</w:t>
      </w:r>
    </w:p>
    <w:p w:rsidR="00AD26E3" w:rsidRDefault="00AD26E3" w:rsidP="00AD26E3">
      <w:pPr>
        <w:pStyle w:val="Titre2"/>
      </w:pPr>
      <w:r>
        <w:t>Critères d’évaluation</w:t>
      </w:r>
    </w:p>
    <w:p w:rsidR="00AD26E3" w:rsidRDefault="004702EB" w:rsidP="00AD26E3">
      <w:r>
        <w:t>Pour mesurer les performances des différents algorithmes que nous avons développés, nous avons mis en place différents indicateurs spécifique à chaque partie du projet. Ces indicateurs nous ont permis de comparer deux algorithmes ou versions différentes et ainsi sélectionner les meilleures solutions.</w:t>
      </w:r>
    </w:p>
    <w:p w:rsidR="004702EB" w:rsidRDefault="004702EB" w:rsidP="004702EB">
      <w:pPr>
        <w:rPr>
          <w:rStyle w:val="Emphaseintense"/>
        </w:rPr>
      </w:pPr>
      <w:r>
        <w:rPr>
          <w:rStyle w:val="Emphaseintense"/>
        </w:rPr>
        <w:t>Onset Detection :</w:t>
      </w:r>
    </w:p>
    <w:p w:rsidR="004702EB" w:rsidRDefault="004702EB" w:rsidP="004702EB">
      <w:r>
        <w:t>Concernant l’Onset Detection, nous avons comparé le nombre et les instants des onset détectés comparés avec les onsets attendus.</w:t>
      </w:r>
      <w:r w:rsidR="00E37D5E">
        <w:t xml:space="preserve"> La stratégie est d’appairer les onsets détectés et annotés qui sont proches deux à deux. S’il reste des onsets non appairés, il s’agit de fausses détections ou de détections manquées selon que l’onset seul est respectivement détecté ou annotés.</w:t>
      </w:r>
      <w:r w:rsidR="00E5709E">
        <w:t xml:space="preserve"> Les offsets ne sont ni annotés ni évalués.</w:t>
      </w:r>
      <w:r w:rsidR="00E37D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3.5pt">
            <v:imagedata r:id="rId4" o:title="annotation_onsets"/>
          </v:shape>
        </w:pict>
      </w:r>
    </w:p>
    <w:p w:rsidR="00E37D5E" w:rsidRDefault="00E37D5E" w:rsidP="004702EB">
      <w:r>
        <w:t>Au final on récupère 3 indicateurs, le taux de fausses détection, le taux de détections manquées et le taux de réussite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252"/>
      </w:tblGrid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fausses détections 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#Fausses détection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</w:t>
            </w:r>
            <w:r>
              <w:t>détections manquées</w:t>
            </w:r>
            <w:r>
              <w:t xml:space="preserve"> 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#Détections manquées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>Taux de</w:t>
            </w:r>
            <w:r>
              <w:t xml:space="preserve"> réussite</w:t>
            </w:r>
            <w:r>
              <w:t xml:space="preserve">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#Fausses détection+#DétectionsManquées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r>
              <w:t>Où # dénote le « nombre de … »</w:t>
            </w:r>
          </w:p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rFonts w:ascii="Calibri" w:eastAsia="Calibri" w:hAnsi="Calibri" w:cs="Times New Roman"/>
                <w:sz w:val="18"/>
              </w:rPr>
            </w:pPr>
          </w:p>
        </w:tc>
      </w:tr>
    </w:tbl>
    <w:p w:rsidR="00E5709E" w:rsidRDefault="00E5709E" w:rsidP="00E5709E">
      <w:pPr>
        <w:rPr>
          <w:rStyle w:val="Emphaseintense"/>
        </w:rPr>
      </w:pPr>
    </w:p>
    <w:p w:rsidR="00E5709E" w:rsidRDefault="00E5709E" w:rsidP="00E5709E">
      <w:pPr>
        <w:rPr>
          <w:rStyle w:val="Emphaseintense"/>
        </w:rPr>
      </w:pPr>
      <w:r>
        <w:rPr>
          <w:rStyle w:val="Emphaseintense"/>
        </w:rPr>
        <w:lastRenderedPageBreak/>
        <w:t>Analyse Rythmique</w:t>
      </w:r>
      <w:r>
        <w:rPr>
          <w:rStyle w:val="Emphaseintense"/>
        </w:rPr>
        <w:t> :</w:t>
      </w:r>
    </w:p>
    <w:p w:rsidR="00E5709E" w:rsidRDefault="00E5709E" w:rsidP="00E5709E">
      <w:r>
        <w:t>Concernant</w:t>
      </w:r>
      <w:r>
        <w:t xml:space="preserve"> l’Analyse Rythmique, on se base sur le même algorithme que pour l’onset détection au niveau de l’appairage. Pour chaque couple annotation-détection, on compare les durées de la note correspondante. Si cette note est suivie d’un silence car un offset a été détecté directement après, on ajoute la durée du silence à la durée de la note détecté :</w:t>
      </w:r>
    </w:p>
    <w:p w:rsidR="00E5709E" w:rsidRDefault="00E5709E" w:rsidP="00E5709E">
      <w:pPr>
        <w:jc w:val="center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1267724" cy="657225"/>
                <wp:effectExtent l="0" t="0" r="8890" b="9525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724" cy="657225"/>
                          <a:chOff x="0" y="0"/>
                          <a:chExt cx="1267724" cy="657225"/>
                        </a:xfrm>
                      </wpg:grpSpPr>
                      <wps:wsp>
                        <wps:cNvPr id="3" name="Égal 3"/>
                        <wps:cNvSpPr/>
                        <wps:spPr>
                          <a:xfrm>
                            <a:off x="526211" y="232913"/>
                            <a:ext cx="258793" cy="189781"/>
                          </a:xfrm>
                          <a:prstGeom prst="mathEqual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5774" y="0"/>
                            <a:ext cx="361950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ACD6B9" id="Groupe 4" o:spid="_x0000_s1026" style="width:99.8pt;height:51.75pt;mso-position-horizontal-relative:char;mso-position-vertical-relative:line" coordsize="12677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">
                <v:shape id="Égal 3" o:spid="_x0000_s1027" style="position:absolute;left:5262;top:2329;width:2588;height:1897;visibility:visible;mso-wrap-style:square;v-text-anchor:middle" coordsize="258793,189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7GMMA&#10;AADaAAAADwAAAGRycy9kb3ducmV2LnhtbESPQWvCQBSE7wX/w/KE3upGC1qimyBKodCD1Aa8PrPP&#10;JJp9G3a3Sfz3bqHQ4zAz3zCbfDSt6Mn5xrKC+SwBQVxa3XCloPh+f3kD4QOyxtYyKbiThzybPG0w&#10;1XbgL+qPoRIRwj5FBXUIXSqlL2sy6Ge2I47exTqDIUpXSe1wiHDTykWSLKXBhuNCjR3taipvxx+j&#10;YOD+frgeilOxr863nRtWfPpcKfU8HbdrEIHG8B/+a39oBa/weyXeAJ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07GMMAAADaAAAADwAAAAAAAAAAAAAAAACYAgAAZHJzL2Rv&#10;d25yZXYueG1sUEsFBgAAAAAEAAQA9QAAAIgDAAAAAA==&#10;" path="m34303,39095r190187,l224490,83731r-190187,l34303,39095xm34303,106050r190187,l224490,150686r-190187,l34303,106050xe" fillcolor="black [3200]" stroked="f" strokeweight="1pt">
                  <v:stroke joinstyle="miter"/>
                  <v:path arrowok="t" o:connecttype="custom" o:connectlocs="34303,39095;224490,39095;224490,83731;34303,83731;34303,39095;34303,106050;224490,106050;224490,150686;34303,150686;34303,106050" o:connectangles="0,0,0,0,0,0,0,0,0,0"/>
                </v:shape>
                <v:shape id="Image 2" o:spid="_x0000_s1028" type="#_x0000_t75" style="position:absolute;left:9057;width:3620;height:6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Cf3DAAAAA2gAAAA8AAABkcnMvZG93bnJldi54bWxEj82KwjAUhfeC7xCu4E5TRYp2jDIKI+4G&#10;q+AsL821KdPclCZj69tPBMHl4fx8nPW2t7W4U+srxwpm0wQEceF0xaWCy/lrsgThA7LG2jEpeJCH&#10;7WY4WGOmXccnuuehFHGEfYYKTAhNJqUvDFn0U9cQR+/mWoshyraUusUujttazpMklRYrjgSDDe0N&#10;Fb/5n42Qn2BXt/T7fLp2u4NN88XeXBZKjUf95weIQH14h1/to1Ywh+eVeAPk5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sJ/cMAAAADaAAAADwAAAAAAAAAAAAAAAACfAgAA&#10;ZHJzL2Rvd25yZXYueG1sUEsFBgAAAAAEAAQA9wAAAIwDAAAAAA==&#10;">
                  <v:imagedata r:id="rId7" o:title=""/>
                  <v:path arrowok="t"/>
                </v:shape>
                <v:shape id="Image 1" o:spid="_x0000_s1029" type="#_x0000_t75" style="position:absolute;width:4381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Ggf2/AAAA2gAAAA8AAABkcnMvZG93bnJldi54bWxET0trAjEQvgv9D2EK3jRbQS1boxRBlJ58&#10;lV6nm+lu2M1k2UQ3/fdGEDwNH99zFqtoG3GlzhvHCt7GGQjiwmnDpYLzaTN6B+EDssbGMSn4Jw+r&#10;5ctggbl2PR/oegylSCHsc1RQhdDmUvqiIot+7FrixP25zmJIsCul7rBP4baRkyybSYuGU0OFLa0r&#10;KurjxSrYmvi1m5p5/ft9qXvX7w8/Nkalhq/x8wNEoBie4od7p9N8uL9yv3J5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BoH9vwAAANoAAAAPAAAAAAAAAAAAAAAAAJ8CAABk&#10;cnMvZG93bnJldi54bWxQSwUGAAAAAAQABAD3AAAAiwM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E5709E" w:rsidRDefault="00E5709E" w:rsidP="00E5709E">
      <w:r>
        <w:t>Ainsi il n’y a aucun silence à annoter. Les notes issu</w:t>
      </w:r>
      <w:r w:rsidR="00B5425A">
        <w:t>e</w:t>
      </w:r>
      <w:r>
        <w:t>s d’une fausse détection d’onset ne sont pas évalué</w:t>
      </w:r>
      <w:r w:rsidR="00E822F2">
        <w:t>es</w:t>
      </w:r>
      <w:r>
        <w:t>, tout comme les détections d’onsets manquées ne sont pas prise en compte.</w:t>
      </w:r>
    </w:p>
    <w:p w:rsidR="00E5709E" w:rsidRDefault="00E5709E" w:rsidP="00E5709E">
      <w:r>
        <w:t xml:space="preserve">On calcule ensuite la matrice de confusion et </w:t>
      </w:r>
      <w:r w:rsidR="00DF7A8D">
        <w:t>utilise le taux de comparaison exacte comme indicateur de performance de l’AR. Cet indicateur est donc relatif au taux de réussite pour l’OD.</w:t>
      </w:r>
    </w:p>
    <w:p w:rsidR="00AB531A" w:rsidRDefault="00AB531A" w:rsidP="00E5709E">
      <w:r>
        <w:pict>
          <v:shape id="_x0000_i1026" type="#_x0000_t75" style="width:453.75pt;height:470.7pt">
            <v:imagedata r:id="rId9" o:title="confusion_durees"/>
          </v:shape>
        </w:pict>
      </w:r>
    </w:p>
    <w:p w:rsidR="00AB531A" w:rsidRDefault="00AB531A" w:rsidP="00AB531A">
      <w:pPr>
        <w:rPr>
          <w:rStyle w:val="Emphaseintense"/>
        </w:rPr>
      </w:pPr>
      <w:r>
        <w:rPr>
          <w:rStyle w:val="Emphaseintense"/>
        </w:rPr>
        <w:lastRenderedPageBreak/>
        <w:t xml:space="preserve">Analyse </w:t>
      </w:r>
      <w:r>
        <w:rPr>
          <w:rStyle w:val="Emphaseintense"/>
        </w:rPr>
        <w:t>Harmonique</w:t>
      </w:r>
      <w:r>
        <w:rPr>
          <w:rStyle w:val="Emphaseintense"/>
        </w:rPr>
        <w:t> :</w:t>
      </w:r>
    </w:p>
    <w:p w:rsidR="00AB531A" w:rsidRDefault="00AB531A" w:rsidP="00AB531A">
      <w:r>
        <w:t>Concernant</w:t>
      </w:r>
      <w:r>
        <w:t xml:space="preserve"> l’analyse harmonique, on utilise exactement le même procédé que pour l’analyse rythmique cependant, il n’y a pas de fusion avec les notes « silencieuses », elles sont simplement ignorées. On compare séparément les octaves et les tons (do, do#, ré, etc…).</w:t>
      </w:r>
    </w:p>
    <w:p w:rsidR="002B4328" w:rsidRDefault="002B4328" w:rsidP="00AD26E3">
      <w:r>
        <w:rPr>
          <w:noProof/>
        </w:rPr>
        <w:pict>
          <v:shape id="_x0000_s1026" type="#_x0000_t75" style="position:absolute;margin-left:-44.85pt;margin-top:40.9pt;width:335.5pt;height:340.6pt;z-index:251659264;mso-position-horizontal-relative:text;mso-position-vertical-relative:text;mso-width-relative:page;mso-height-relative:page">
            <v:imagedata r:id="rId10" o:title="confusion_tons" croptop="1870f" cropbottom="2970f" cropleft="5302f" cropright="6777f"/>
            <w10:wrap type="square"/>
          </v:shape>
        </w:pict>
      </w:r>
      <w:r>
        <w:rPr>
          <w:noProof/>
        </w:rPr>
        <w:pict>
          <v:shape id="_x0000_s1027" type="#_x0000_t75" style="position:absolute;margin-left:291.8pt;margin-top:49.45pt;width:204.7pt;height:209.9pt;z-index:251661312;mso-position-horizontal-relative:text;mso-position-vertical-relative:text;mso-width-relative:page;mso-height-relative:page">
            <v:imagedata r:id="rId11" o:title="confusion_octaves" croptop="6037f" cropbottom="7296f" cropright="4108f"/>
            <w10:wrap type="square"/>
          </v:shape>
        </w:pict>
      </w:r>
      <w:r w:rsidR="00AB531A">
        <w:t xml:space="preserve">Là encore on garde pour indicateur, </w:t>
      </w:r>
      <w:r w:rsidR="00AB531A">
        <w:t>le taux de comparaison exacte</w:t>
      </w:r>
      <w:r w:rsidR="00AB531A">
        <w:t xml:space="preserve"> de la matrice de confusion. Cet indicateur est lui aussi relatif au taux de succès d’onset detection.</w:t>
      </w:r>
    </w:p>
    <w:p w:rsidR="00AD26E3" w:rsidRDefault="00AD26E3" w:rsidP="00AD26E3"/>
    <w:p w:rsidR="00AD26E3" w:rsidRDefault="00AD26E3" w:rsidP="00AD26E3">
      <w:pPr>
        <w:pStyle w:val="Titre2"/>
      </w:pPr>
    </w:p>
    <w:p w:rsidR="002B4328" w:rsidRDefault="002B4328" w:rsidP="002B4328"/>
    <w:p w:rsidR="002B4328" w:rsidRDefault="002B4328" w:rsidP="002B4328"/>
    <w:p w:rsidR="002B4328" w:rsidRDefault="002B4328" w:rsidP="002B4328"/>
    <w:p w:rsidR="002B4328" w:rsidRDefault="002B4328" w:rsidP="002B4328">
      <w:bookmarkStart w:id="0" w:name="_GoBack"/>
      <w:bookmarkEnd w:id="0"/>
    </w:p>
    <w:p w:rsidR="002B4328" w:rsidRDefault="002B4328" w:rsidP="002B4328"/>
    <w:p w:rsidR="002B4328" w:rsidRDefault="002B4328" w:rsidP="002B4328">
      <w:pPr>
        <w:pStyle w:val="Titre2"/>
      </w:pPr>
      <w:r>
        <w:t>Constitution d’une base de données annotée</w:t>
      </w:r>
    </w:p>
    <w:p w:rsidR="002B4328" w:rsidRPr="002B4328" w:rsidRDefault="002B4328" w:rsidP="002B4328"/>
    <w:sectPr w:rsidR="002B4328" w:rsidRPr="002B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DB"/>
    <w:rsid w:val="001C1691"/>
    <w:rsid w:val="002B4328"/>
    <w:rsid w:val="004702EB"/>
    <w:rsid w:val="00906DDB"/>
    <w:rsid w:val="00AB531A"/>
    <w:rsid w:val="00AD26E3"/>
    <w:rsid w:val="00B5425A"/>
    <w:rsid w:val="00DF7A8D"/>
    <w:rsid w:val="00E37D5E"/>
    <w:rsid w:val="00E547B9"/>
    <w:rsid w:val="00E5709E"/>
    <w:rsid w:val="00E8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7B7A1DA-8E1D-48A1-8F9B-42B78B66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6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2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4702EB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E37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37D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Martin</dc:creator>
  <cp:keywords/>
  <dc:description/>
  <cp:lastModifiedBy>LAURENT Martin</cp:lastModifiedBy>
  <cp:revision>5</cp:revision>
  <dcterms:created xsi:type="dcterms:W3CDTF">2016-01-28T07:55:00Z</dcterms:created>
  <dcterms:modified xsi:type="dcterms:W3CDTF">2016-01-28T10:55:00Z</dcterms:modified>
</cp:coreProperties>
</file>