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Should any member of the Joint Undertaking be in default of its commitments concerning its financial contribution,</w:t>
      </w:r>
    </w:p>
    <w:p>
      <w:pPr>
        <w:pStyle w:val="Normal"/>
        <w:bidi w:val="0"/>
        <w:jc w:val="start"/>
        <w:rPr/>
      </w:pPr>
      <w:r>
        <w:rPr/>
        <w:t>the Executive Director shall put this in writing and shall set a reasonable period within which such default shall be</w:t>
      </w:r>
    </w:p>
    <w:p>
      <w:pPr>
        <w:pStyle w:val="Normal"/>
        <w:bidi w:val="0"/>
        <w:jc w:val="start"/>
        <w:rPr/>
      </w:pPr>
      <w:r>
        <w:rPr/>
        <w:t>remedied. If the situation is not remedied within that period, the Executive Director shall convene a meeting of the</w:t>
      </w:r>
    </w:p>
    <w:p>
      <w:pPr>
        <w:pStyle w:val="Normal"/>
        <w:bidi w:val="0"/>
        <w:jc w:val="start"/>
        <w:rPr/>
      </w:pPr>
      <w:r>
        <w:rPr/>
        <w:t>Governing Board to decide whether the defaulting member’s membership is to be revoked or whether any other measures</w:t>
      </w:r>
    </w:p>
    <w:p>
      <w:pPr>
        <w:pStyle w:val="Normal"/>
        <w:bidi w:val="0"/>
        <w:jc w:val="start"/>
        <w:rPr/>
      </w:pPr>
      <w:r>
        <w:rPr/>
        <w:t>are to be taken until its obligations have been met. The defaulting member’s voting rights shall be suspended until the</w:t>
      </w:r>
    </w:p>
    <w:p>
      <w:pPr>
        <w:pStyle w:val="Normal"/>
        <w:bidi w:val="0"/>
        <w:jc w:val="start"/>
        <w:rPr/>
      </w:pPr>
      <w:r>
        <w:rPr/>
        <w:t>default of its commitments is remedied. The Joint Undertaking or any of its members shall not be obliged to cover the</w:t>
      </w:r>
    </w:p>
    <w:p>
      <w:pPr>
        <w:pStyle w:val="Normal"/>
        <w:bidi w:val="0"/>
        <w:jc w:val="start"/>
        <w:rPr/>
      </w:pPr>
      <w:r>
        <w:rPr/>
        <w:t>defaulting members’ financial contribution.</w:t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The resources and activities of the Joint Undertaking shall be intended for the achievement of the objectives set out in</w:t>
      </w:r>
    </w:p>
    <w:p>
      <w:pPr>
        <w:pStyle w:val="Normal"/>
        <w:bidi w:val="0"/>
        <w:jc w:val="start"/>
        <w:rPr/>
      </w:pPr>
      <w:r>
        <w:rPr/>
        <w:t>Article 3 of this Regulation.</w:t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The Joint Undertaking shall own all assets generated by it or transferred to it for the achievement of its objectives set</w:t>
      </w:r>
    </w:p>
    <w:p>
      <w:pPr>
        <w:pStyle w:val="Normal"/>
        <w:bidi w:val="0"/>
        <w:jc w:val="start"/>
        <w:rPr/>
      </w:pPr>
      <w:r>
        <w:rPr/>
        <w:t>out in Article 3 of this Regulation. This shall not include the EuroHPC supercomputers whose ownership the Joint</w:t>
      </w:r>
    </w:p>
    <w:p>
      <w:pPr>
        <w:pStyle w:val="Normal"/>
        <w:bidi w:val="0"/>
        <w:jc w:val="start"/>
        <w:rPr/>
      </w:pPr>
      <w:r>
        <w:rPr/>
        <w:t>Undertaking has transferred to a hosting entity in accordance with Articles 11(5), 12(7), 13(6) and 14(6) of this Regulation.</w:t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Except when the Joint Undertaking is wound up, any excess revenue over expenditure shall not be paid to the</w:t>
      </w:r>
    </w:p>
    <w:p>
      <w:pPr>
        <w:pStyle w:val="Normal"/>
        <w:bidi w:val="0"/>
        <w:jc w:val="start"/>
        <w:rPr/>
      </w:pPr>
      <w:r>
        <w:rPr/>
        <w:t>members of the Joint Undertaking.</w:t>
      </w:r>
    </w:p>
    <w:p>
      <w:pPr>
        <w:pStyle w:val="Normal"/>
        <w:bidi w:val="0"/>
        <w:jc w:val="start"/>
        <w:rPr/>
      </w:pPr>
      <w:r>
        <w:rPr/>
        <w:t>Article 16</w:t>
      </w:r>
    </w:p>
    <w:p>
      <w:pPr>
        <w:pStyle w:val="Normal"/>
        <w:bidi w:val="0"/>
        <w:jc w:val="start"/>
        <w:rPr/>
      </w:pPr>
      <w:r>
        <w:rPr/>
        <w:t>Financial commitments</w:t>
      </w:r>
    </w:p>
    <w:p>
      <w:pPr>
        <w:pStyle w:val="Normal"/>
        <w:bidi w:val="0"/>
        <w:jc w:val="start"/>
        <w:rPr/>
      </w:pPr>
      <w:r>
        <w:rPr/>
        <w:t>The financial commitments of the Joint Undertaking shall not exceed the amount of financial resources available or</w:t>
      </w:r>
    </w:p>
    <w:p>
      <w:pPr>
        <w:pStyle w:val="Normal"/>
        <w:bidi w:val="0"/>
        <w:jc w:val="start"/>
        <w:rPr/>
      </w:pPr>
      <w:r>
        <w:rPr/>
        <w:t>committed to its budget by its members. The Commission may provide multi-annual commitments.</w:t>
      </w:r>
    </w:p>
    <w:p>
      <w:pPr>
        <w:pStyle w:val="Normal"/>
        <w:bidi w:val="0"/>
        <w:jc w:val="start"/>
        <w:rPr/>
      </w:pPr>
      <w:r>
        <w:rPr/>
        <w:t>Article 17</w:t>
      </w:r>
    </w:p>
    <w:p>
      <w:pPr>
        <w:pStyle w:val="Normal"/>
        <w:bidi w:val="0"/>
        <w:jc w:val="start"/>
        <w:rPr/>
      </w:pPr>
      <w:r>
        <w:rPr/>
        <w:t>Financial year</w:t>
      </w:r>
    </w:p>
    <w:p>
      <w:pPr>
        <w:pStyle w:val="Normal"/>
        <w:bidi w:val="0"/>
        <w:jc w:val="start"/>
        <w:rPr/>
      </w:pPr>
      <w:r>
        <w:rPr/>
        <w:t>The financial year shall run from 1 January to 31 December.</w:t>
      </w:r>
    </w:p>
    <w:p>
      <w:pPr>
        <w:pStyle w:val="Normal"/>
        <w:bidi w:val="0"/>
        <w:jc w:val="start"/>
        <w:rPr/>
      </w:pPr>
      <w:r>
        <w:rPr/>
        <w:t>Article 18</w:t>
      </w:r>
    </w:p>
    <w:p>
      <w:pPr>
        <w:pStyle w:val="Normal"/>
        <w:bidi w:val="0"/>
        <w:jc w:val="start"/>
        <w:rPr/>
      </w:pPr>
      <w:r>
        <w:rPr/>
        <w:t>Operational and financial planning</w:t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The multiannual strategic programme shall specify the strategy and plans for achieving the objectives of the Joint</w:t>
      </w:r>
    </w:p>
    <w:p>
      <w:pPr>
        <w:pStyle w:val="Normal"/>
        <w:bidi w:val="0"/>
        <w:jc w:val="start"/>
        <w:rPr/>
      </w:pPr>
      <w:r>
        <w:rPr/>
        <w:t>Undertaking set out in Article 3 of this Regulation. It shall include the following: the acquisition of supercomputers; the</w:t>
      </w:r>
    </w:p>
    <w:p>
      <w:pPr>
        <w:pStyle w:val="Normal"/>
        <w:bidi w:val="0"/>
        <w:jc w:val="start"/>
        <w:rPr/>
      </w:pPr>
      <w:r>
        <w:rPr/>
        <w:t>research and innovation activities including the strategic research and innovation agenda; the capability building and</w:t>
      </w:r>
    </w:p>
    <w:p>
      <w:pPr>
        <w:pStyle w:val="Normal"/>
        <w:bidi w:val="0"/>
        <w:jc w:val="start"/>
        <w:rPr/>
      </w:pPr>
      <w:r>
        <w:rPr/>
        <w:t>widening activities; the federation, connectivity and international cooperation activities. It shall also include the</w:t>
      </w:r>
    </w:p>
    <w:p>
      <w:pPr>
        <w:pStyle w:val="Normal"/>
        <w:bidi w:val="0"/>
        <w:jc w:val="start"/>
        <w:rPr/>
      </w:pPr>
      <w:r>
        <w:rPr/>
        <w:t>multiannual financial perspectives received from the Participating States and the Commission.</w:t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Private Members shall draft the Strategic Research and Innovation Agenda and shall submit it to the Research and</w:t>
      </w:r>
    </w:p>
    <w:p>
      <w:pPr>
        <w:pStyle w:val="Normal"/>
        <w:bidi w:val="0"/>
        <w:jc w:val="start"/>
        <w:rPr/>
      </w:pPr>
      <w:r>
        <w:rPr/>
        <w:t>Innovation Advisory Group.</w:t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The Industrial and Scientific Advisory Board shall consolidate the multiannual strategic programme and submit it to</w:t>
      </w:r>
    </w:p>
    <w:p>
      <w:pPr>
        <w:pStyle w:val="Normal"/>
        <w:bidi w:val="0"/>
        <w:jc w:val="start"/>
        <w:rPr/>
      </w:pPr>
      <w:r>
        <w:rPr/>
        <w:t>the Executive Director. It shall be the basis for the Executive Director to draft the annual work programme.</w:t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The draft annual work programme shall include the research and innovation activities, the procurement activities, the</w:t>
      </w:r>
    </w:p>
    <w:p>
      <w:pPr>
        <w:pStyle w:val="Normal"/>
        <w:bidi w:val="0"/>
        <w:jc w:val="start"/>
        <w:rPr/>
      </w:pPr>
      <w:r>
        <w:rPr/>
        <w:t>capability building and widening activities, the federation and connectivity activities, the international cooperation</w:t>
      </w:r>
    </w:p>
    <w:p>
      <w:pPr>
        <w:pStyle w:val="Normal"/>
        <w:bidi w:val="0"/>
        <w:jc w:val="start"/>
        <w:rPr/>
      </w:pPr>
      <w:r>
        <w:rPr/>
        <w:t>activities, the administrative activities and the corresponding expenditure estimates for the following year.</w:t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The Executive Director shall submit to the Governing Board the administrative agreements referred to in Article 8(2)</w:t>
      </w:r>
    </w:p>
    <w:p>
      <w:pPr>
        <w:pStyle w:val="Normal"/>
        <w:bidi w:val="0"/>
        <w:jc w:val="start"/>
        <w:rPr/>
      </w:pPr>
      <w:r>
        <w:rPr/>
        <w:t>of this Regulation supporting the expenditure estimates.</w:t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The annual work programme shall be adopted by the end of the year prior to its implementation. The annual work</w:t>
      </w:r>
    </w:p>
    <w:p>
      <w:pPr>
        <w:pStyle w:val="Normal"/>
        <w:bidi w:val="0"/>
        <w:jc w:val="start"/>
        <w:rPr/>
      </w:pPr>
      <w:r>
        <w:rPr/>
        <w:t>programme shall be made publicly available.L 256/50</w:t>
      </w:r>
    </w:p>
    <w:p>
      <w:pPr>
        <w:pStyle w:val="Normal"/>
        <w:bidi w:val="0"/>
        <w:jc w:val="start"/>
        <w:rPr/>
      </w:pPr>
      <w:r>
        <w:rPr/>
        <w:t>EN</w:t>
      </w:r>
    </w:p>
    <w:p>
      <w:pPr>
        <w:pStyle w:val="Normal"/>
        <w:bidi w:val="0"/>
        <w:jc w:val="start"/>
        <w:rPr/>
      </w:pPr>
      <w:r>
        <w:rPr/>
        <w:t>Official Journal of the European Union</w:t>
      </w:r>
    </w:p>
    <w:p>
      <w:pPr>
        <w:pStyle w:val="Normal"/>
        <w:bidi w:val="0"/>
        <w:jc w:val="start"/>
        <w:rPr/>
      </w:pPr>
      <w:r>
        <w:rPr/>
        <w:t>19.7.2021</w:t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The Executive Director shall prepare the draft annual budget for the following year and shall submit it to the</w:t>
      </w:r>
    </w:p>
    <w:p>
      <w:pPr>
        <w:pStyle w:val="Normal"/>
        <w:bidi w:val="0"/>
        <w:jc w:val="start"/>
        <w:rPr/>
      </w:pPr>
      <w:r>
        <w:rPr/>
        <w:t>Governing Board for adoption.</w:t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The annual budget for a particular year shall be adopted by the Governing Board by the end of the year prior to its</w:t>
      </w:r>
    </w:p>
    <w:p>
      <w:pPr>
        <w:pStyle w:val="Normal"/>
        <w:bidi w:val="0"/>
        <w:jc w:val="start"/>
        <w:rPr/>
      </w:pPr>
      <w:r>
        <w:rPr/>
        <w:t>implementation.</w:t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The annual budget shall be adapted in order to take into account the amount of the Union’s financial contribution as</w:t>
      </w:r>
    </w:p>
    <w:p>
      <w:pPr>
        <w:pStyle w:val="Normal"/>
        <w:bidi w:val="0"/>
        <w:jc w:val="start"/>
        <w:rPr/>
      </w:pPr>
      <w:r>
        <w:rPr/>
        <w:t>set out in the general budget of the Union.</w:t>
      </w:r>
    </w:p>
    <w:p>
      <w:pPr>
        <w:pStyle w:val="Normal"/>
        <w:bidi w:val="0"/>
        <w:jc w:val="start"/>
        <w:rPr/>
      </w:pPr>
      <w:r>
        <w:rPr/>
        <w:t>Article 19</w:t>
      </w:r>
    </w:p>
    <w:p>
      <w:pPr>
        <w:pStyle w:val="Normal"/>
        <w:bidi w:val="0"/>
        <w:jc w:val="start"/>
        <w:rPr/>
      </w:pPr>
      <w:r>
        <w:rPr/>
        <w:t>Operational and financial reporting</w:t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The Executive Director shall report annually to the Governing Board on the performance of his or her duties in</w:t>
      </w:r>
    </w:p>
    <w:p>
      <w:pPr>
        <w:pStyle w:val="Normal"/>
        <w:bidi w:val="0"/>
        <w:jc w:val="start"/>
        <w:rPr/>
      </w:pPr>
      <w:r>
        <w:rPr/>
        <w:t>accordance with the financial rules of the Joint Undertaking referred to in Article 19 of this Regulation. The consolidated</w:t>
      </w:r>
    </w:p>
    <w:p>
      <w:pPr>
        <w:pStyle w:val="Normal"/>
        <w:bidi w:val="0"/>
        <w:jc w:val="start"/>
        <w:rPr/>
      </w:pPr>
      <w:r>
        <w:rPr/>
        <w:t>annual activity report shall include, inter alia, information on the following matters:</w:t>
      </w:r>
    </w:p>
    <w:p>
      <w:pPr>
        <w:pStyle w:val="Normal"/>
        <w:bidi w:val="0"/>
        <w:jc w:val="start"/>
        <w:rPr/>
      </w:pPr>
      <w:r>
        <w:rPr/>
        <w:t>(a) research, innovation and other actions carried out and the corresponding expenditure;</w:t>
      </w:r>
    </w:p>
    <w:p>
      <w:pPr>
        <w:pStyle w:val="Normal"/>
        <w:bidi w:val="0"/>
        <w:jc w:val="start"/>
        <w:rPr/>
      </w:pPr>
      <w:r>
        <w:rPr/>
        <w:t>(b) acquisition and operation of infrastructure, including the use of and access to the infrastructure, including the access</w:t>
      </w:r>
    </w:p>
    <w:p>
      <w:pPr>
        <w:pStyle w:val="Normal"/>
        <w:bidi w:val="0"/>
        <w:jc w:val="start"/>
        <w:rPr/>
      </w:pPr>
      <w:r>
        <w:rPr/>
        <w:t>time effectively used by each Participating State;</w:t>
      </w:r>
    </w:p>
    <w:p>
      <w:pPr>
        <w:pStyle w:val="Normal"/>
        <w:bidi w:val="0"/>
        <w:jc w:val="start"/>
        <w:rPr/>
      </w:pPr>
      <w:r>
        <w:rPr/>
        <w:t>(c) the proposals and tenders submitted, including a breakdown by participant type, including SMEs, and by country;</w:t>
      </w:r>
    </w:p>
    <w:p>
      <w:pPr>
        <w:pStyle w:val="Normal"/>
        <w:bidi w:val="0"/>
        <w:jc w:val="start"/>
        <w:rPr/>
      </w:pPr>
      <w:r>
        <w:rPr/>
        <w:t>(d) the indirect actions selected for funding, with a breakdown by participant type, including SMEs, and by country, and</w:t>
      </w:r>
    </w:p>
    <w:p>
      <w:pPr>
        <w:pStyle w:val="Normal"/>
        <w:bidi w:val="0"/>
        <w:jc w:val="start"/>
        <w:rPr/>
      </w:pPr>
      <w:r>
        <w:rPr/>
        <w:t>indicating the contributions of the Joint Undertaking to the individual participants and actions;</w:t>
      </w:r>
    </w:p>
    <w:p>
      <w:pPr>
        <w:pStyle w:val="Normal"/>
        <w:bidi w:val="0"/>
        <w:jc w:val="start"/>
        <w:rPr/>
      </w:pPr>
      <w:r>
        <w:rPr/>
        <w:t>(e) the tenders selected for funding, with a breakdown by type of contractor, including SMEs, and by country, and</w:t>
      </w:r>
    </w:p>
    <w:p>
      <w:pPr>
        <w:pStyle w:val="Normal"/>
        <w:bidi w:val="0"/>
        <w:jc w:val="start"/>
        <w:rPr/>
      </w:pPr>
      <w:r>
        <w:rPr/>
        <w:t>indicating the contributions of the Joint Undertaking to the individual contractors and procurement actions;</w:t>
      </w:r>
    </w:p>
    <w:p>
      <w:pPr>
        <w:pStyle w:val="Normal"/>
        <w:bidi w:val="0"/>
        <w:jc w:val="start"/>
        <w:rPr/>
      </w:pPr>
      <w:r>
        <w:rPr/>
        <w:t>(f) the outcome of the procurement activities;</w:t>
      </w:r>
    </w:p>
    <w:p>
      <w:pPr>
        <w:pStyle w:val="Normal"/>
        <w:bidi w:val="0"/>
        <w:jc w:val="start"/>
        <w:rPr/>
      </w:pPr>
      <w:r>
        <w:rPr/>
        <w:t>(g) progress towards the achievement of the objectives set out in Article 3 of this Regulation and proposals for further</w:t>
      </w:r>
    </w:p>
    <w:p>
      <w:pPr>
        <w:pStyle w:val="Normal"/>
        <w:bidi w:val="0"/>
        <w:jc w:val="start"/>
        <w:rPr/>
      </w:pPr>
      <w:r>
        <w:rPr/>
        <w:t>necessary work to achieve those objectives.</w:t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The accounting officer of the Joint Undertaking shall send the provisional accounts to the Commission’s accounting</w:t>
      </w:r>
    </w:p>
    <w:p>
      <w:pPr>
        <w:pStyle w:val="Normal"/>
        <w:bidi w:val="0"/>
        <w:jc w:val="start"/>
        <w:rPr/>
      </w:pPr>
      <w:r>
        <w:rPr/>
        <w:t>officer and the Court of Auditors in accordance with the financial rules of the Joint Undertaking.</w:t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The Executive Director shall send the report on the budgetary and financial management to the European Parliament,</w:t>
      </w:r>
    </w:p>
    <w:p>
      <w:pPr>
        <w:pStyle w:val="Normal"/>
        <w:bidi w:val="0"/>
        <w:jc w:val="start"/>
        <w:rPr/>
      </w:pPr>
      <w:r>
        <w:rPr/>
        <w:t>the Council and the Court of Auditors in accordance with the financial rules of the Joint Undertaking.</w:t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The discharge procedure shall be carried out in accordance with the financial rules of the Joint Undertaking.</w:t>
      </w:r>
    </w:p>
    <w:p>
      <w:pPr>
        <w:pStyle w:val="Normal"/>
        <w:bidi w:val="0"/>
        <w:jc w:val="start"/>
        <w:rPr/>
      </w:pPr>
      <w:r>
        <w:rPr/>
        <w:t>Article 20</w:t>
      </w:r>
    </w:p>
    <w:p>
      <w:pPr>
        <w:pStyle w:val="Normal"/>
        <w:bidi w:val="0"/>
        <w:jc w:val="start"/>
        <w:rPr/>
      </w:pPr>
      <w:r>
        <w:rPr/>
        <w:t>Internal audit</w:t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The Commission’s internal auditor shall exercise the same powers over the Joint Undertaking as those exercised in</w:t>
      </w:r>
    </w:p>
    <w:p>
      <w:pPr>
        <w:pStyle w:val="Normal"/>
        <w:bidi w:val="0"/>
        <w:jc w:val="start"/>
        <w:rPr/>
      </w:pPr>
      <w:r>
        <w:rPr/>
        <w:t>respect of the Commission.</w:t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The Joint Undertaking shall be capable of performing its own internal audit.</w:t>
      </w:r>
    </w:p>
    <w:p>
      <w:pPr>
        <w:pStyle w:val="Normal"/>
        <w:bidi w:val="0"/>
        <w:jc w:val="start"/>
        <w:rPr/>
      </w:pPr>
      <w:r>
        <w:rPr/>
        <w:t>Article 21</w:t>
      </w:r>
    </w:p>
    <w:p>
      <w:pPr>
        <w:pStyle w:val="Normal"/>
        <w:bidi w:val="0"/>
        <w:jc w:val="start"/>
        <w:rPr/>
      </w:pPr>
      <w:r>
        <w:rPr/>
        <w:t>Liability of members and insurance</w:t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The financial liability of the members of the Joint Undertaking for the debts of the Joint Undertaking shall be limited</w:t>
      </w:r>
    </w:p>
    <w:p>
      <w:pPr>
        <w:pStyle w:val="Normal"/>
        <w:bidi w:val="0"/>
        <w:jc w:val="start"/>
        <w:rPr/>
      </w:pPr>
      <w:r>
        <w:rPr/>
        <w:t>to their financial contributions made to the Joint Undertaking.</w:t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The Joint Undertaking shall take out and maintain appropriate insurance.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LibreOffice/24.8.5.2$Linux_X86_64 LibreOffice_project/480$Build-2</Application>
  <AppVersion>15.0000</AppVersion>
  <Pages>3</Pages>
  <Words>984</Words>
  <Characters>5454</Characters>
  <CharactersWithSpaces>6338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2025-03-18T09:57:05Z</dcterms:created>
  <dc:creator/>
  <dc:description/>
  <dc:language>en-US</dc:language>
  <cp:lastModifiedBy/>
  <dcterms:modified xsi:type="dcterms:W3CDTF">2025-03-18T09:58:21Z</dcterms:modified>
  <cp:revision>1</cp:revision>
  <dc:subject/>
  <dc:title/>
</cp:coreProperties>
</file>