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CCpdf: Building a High Quality Corpus for Visually Rich Documents. .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total. We decided to limit ourselves to one dump only due to computational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storage limitations. One with enough computing resources may easily reproduce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pipeline and create a corpus up to 84 times larger.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Large corpora of documents are crucial for 2D language model pretraining. Re-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cent approaches to their creation have had limitations in terms of diversity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multilinguality. Diversity of the dataset is a crucial property, as data used in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training phase impact the biases of the model. Efficient design of a pipeline for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creating such a corpus has not been studied before. In this work we addressed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those limitations by designing a process of downloading diversified samples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PDFs and their efficient processing. To obtain documents we used Common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Crawl, which is a popular source of data for language model pretraining, but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has rarely been used in the context of 2D language models. The PDF files used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this project were balanced across languages and domains, which guarantees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diversity with respect to layouts and topics. To make the processing pipeline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efficient in terms of computing time and data quality, we tested different strate-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gies of OCR processing, i.e. usage of the embedded textual layer for documents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 requiring OCR, and predefining the OCR language. The language detection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was also carefully analyzed.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result of this work is an index of PDF files with their URL addresses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metadata, and the script for downloading it is available at our repository27 . The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supplied data were analyzed in terms of not only document length and layout,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but also metadata connected to the PDF format (i.e., the PDF version and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creator tool), which can help understand better the dataset itself, but also give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 insight into the content of the Internet.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Smart Growth Operational Programme partially supported this research un-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der projects no. POIR.01.01.01-00-0877/19-00 (A universal platform for robotic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automation of processes requiring text comprehension, with a unique level of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implementation and service automation) and POIR.01.01.01-00-1624/20 (Hiper-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OCR - an innovative solution for information extraction from scanned docu-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ments).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Abadji, J., Suarez, P.O., Romary, L., Sagot, B.: Towards a cleaner document-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oriented multilingual crawled corpus. ArXiv abs/2201.06642 (2022)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https://github.com/applicaai/CCpdf16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M. Turski et 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Allison, T., Burke, W., Constantinou, V., Goh, E., Mattmann, C., Mensikova, A.,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Southam, P., Stonebraker, R., Timmaraju, V.: Research report: Building a wide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reach corpus for secure parser development. In: 2020 IEEE Security and Privacy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Workshops (SPW). pp. 318–326 (2020). https://doi.org/10.1109/SPW50608.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2020.00066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Ammar, W., Groeneveld, D., Bhagavatula, C., Beltagy, I., Crawford, M., Downey,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D., Dunkelberger, J., Elgohary, A., Feldman, S., Ha, V., Kinney, R., Kohlmeier,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S., Lo, K., Murray, T., Ooi, H.H., Peters, M., Power, J., Skjonsberg, S., Wang,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L.L., Wilhelm, C., Yuan, Z., van Zuylen, M., Etzioni, O.: Construction of the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literature graph in semantic scholar. In: Proceedings of the 2018 Conference of the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North American Chapter of the Association for Computational Linguistics: Human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Language Technologies, Volume 3 (Industry Papers). pp. 84–91. Association for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Computational Linguistics, New Orleans - Louisiana (Jun 2018). https://doi.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org/10.18653/v1/N18-3011, https://aclanthology.org/N18-3011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Biten, A.F., Tito, R., Gomez, L., Valveny, E., Karatzas, D.: OCR-IDR: OCR an-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notations for industry document library dataset. arXiv preprint arXiv:2202.12985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(2022)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Borchmann, Ł., Pietruszka, M., Stanisławek, T., Jurkiewicz, D., Turski, M., Szyn-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dler, K., Gralinski, F.: DUE: End-to-end document understanding benchmark. In: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NeurIPS Datasets and Benchmarks (2021)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6. Brown, T., Mann, B., Ryder, N., Subbiah, M., Kaplan, J.D., Dhariwal, P., Nee-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lakantan, A., Shyam, P., Sastry, G., Askell, A., Agarwal, S., Herbert-Voss, A.,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Krueger, G., Henighan, T., Child, R., Ramesh, A., Ziegler, D., Wu, J., Winter, C.,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Hesse, C., Chen, M., Sigler, E., Litwin, M., Gray, S., Chess, B., Clark, J., Berner,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C., McCandlish, S., Radford, A., Sutskever, I., Amodei, D.: Language models are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few-shot learners. In: Larochelle, H., Ranzato, M., Hadsell, R., Balcan, M., Lin, H.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(eds.) Advances in Neural Information Processing Systems. vol. 33, pp. 1877–1901.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Curran Associates, Inc. (2020), https://proceedings.neurips.cc/paper/2020/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file/1457c0d6bfcb4967418bfb8ac142f64a-Paper.pdf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7. Dodge, J., Sap, M., Marasović, A., Agnew, W., Ilharco, G., Groeneveld, D.,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Mitchell, M., Gardner, M.: Documenting large webtext corpora: A case study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 the colossal clean crawled corpus. In: Proceedings of the 2021 Conference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on Empirical Methods in Natural Language Processing. pp. 1286–1305. Asso-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ciation for Computational Linguistics, Online and Punta Cana, Dominican Re-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(Nov 2021). https://doi.org/10.18653/v1/2021.emnlp-main.98, https: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//aclanthology.org/2021.emnlp-main.98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 Gao, L., Biderman, S., Black, S., Golding, L., Hoppe, T., Foster, C., Phang, J., He,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H., Thite, A., Nabeshima, N., Presser, S., Leahy, C.: The Pile: An 800gb dataset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of diverse text for language modeling. arXiv preprint arXiv:2101.00027 (2020)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9. Garncarek, Ł., Powalski, R., Stanisławek, T., Topolski, B., Halama, P., Turski,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M., Graliński, F.: LAMBERT: Layout-aware language modeling for informa-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tion extraction. In: Lladós, J., Lopresti, D., Uchida, S. (eds.) Document Anal-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ysis and Recognition – ICDAR 2021. pp. 532–547. Springer International Pub-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lishing, Cham (2021). https://doi.org/10.1007/978-3-030-86549-8_34, https: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//link.springer.com/content/pdf/10.1007%2F978-3-030-86549-8_34.pdf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10. Gururangan, S., Marasović, A., Swayamdipta, S., Lo, K., Beltagy, I., Downey, D.,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Smith, N.A.: Don’t stop pretraining: Adapt language models to domains and tasks.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Proceedings of the 58th Annual Meeting of the Association for Computational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Linguistics (2020). https://doi.org/10.18653/v1/2020.acl-main.740, http://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dx.doi.org/10.18653/v1/2020.acl-main.740CCpdf: Building a High Quality Corpus for Visually Rich Documents. . 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11. Habernal, I., Zayed, O., Gurevych, I.: C4Corpus: Multilingual web-size corpus with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free license. In: Proceedings of the Tenth International Conference on Language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Resources and Evaluation (LREC’16). pp. 914–922. European Language Resources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Association (ELRA), Portorož, Slovenia (May 2016), https://aclanthology.org/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L16-1146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12. Harley, A.W., Ufkes, A., Derpanis, K.G.: Evaluation of deep convolutional nets for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document image classification and retrieval. In: ICDAR (2015)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13. Huber, P., Aghajanyan, A., Oğuz, B., Okhonko, D., tau Yih, W., Gupta, S., Chen,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X.: CCQA: A new web-scale question answering dataset for model pre-training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(2021)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14. Lewis, D., Agam, G., Argamon, S., Frieder, O., Grossman, D., Heard, J.: Building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 test collection for complex document information processing. In: Proceedings of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29th Annual International ACM SIGIR Conference on Research and Devel-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opment in Information Retrieval. p. 665–666. SIGIR ’06, Association for Comput-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ing Machinery, New York, NY, USA (2006). https://doi.org/10.1145/1148170.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1148307, https://doi.org/10.1145/1148170.1148307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15. Li, M., Xu, Y., Cui, L., Huang, S., Wei, F., Li, Z., Zhou, M.: Docbank: A benchmark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dataset for document layout analysis (2020)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16. Liu, V., Curran, J.R.: Web text corpus for natural language processing. In: 11th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Conference of the European Chapter of the Association for Computational Lin-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guistics. Association for Computational Linguistics, Trento, Italy (Apr 2006),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https://www.aclweb.org/anthology/E06-1030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17. Liu, Y., Ott, M., Goyal, N., Du, J., Joshi, M., Chen, D., Levy, O., Lewis, M.,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Zettlemoyer, L., Stoyanov, V.: RoBERTa: A robustly optimized BERT pretraining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approach (2019)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18. Luccioni, A.S., Viviano, J.D.: What’s in the box? An analysis of undesirable content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 the Common Crawl corpus. In: ACL (2021)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19. Masson, C., Paroubek, P.: NLP analytics in finance with DoRe: A French 250M to-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kens corpus of corporate annual reports. In: Proceedings of The 12th Language Re-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sources and Evaluation Conference. pp. 2261–2267. European Language Resources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Association, Marseille, France (May 2020), https://www.aclweb.org/anthology/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2020.lrec-1.275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20. Patterson, D.A., Gonzalez, J., Le, Q.V., Liang, C., Munguía, L.M., Rothchild, D.,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So, D.R., Texier, M., Dean, J.: Carbon emissions and large neural network training.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ArXiv abs/2104.10350 (2021)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21. Powalski, R., Borchmann, Ł., Jurkiewicz, D., Dwojak, T., Pietruszka, M., Pałka,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G.: Going full-TILT boogie on document understanding with text-image-layout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transformer. In: Lladós, J., Lopresti, D., Uchida, S. (eds.) Document Analy-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sis and Recognition – ICDAR 2021. pp. 732–747. Springer International Pub-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lishing, Cham (2021). https://doi.org/10.1007/978-3-030-86331-9_47, https: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//link.springer.com/content/pdf/10.1007%2F978-3-030-86331-9_47.pdf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22. Qi, D., Su, L., Song, J., Cui, E., Bharti, T., Sacheti, A.: Imagebert: Cross-modal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pre-training with large-scale weak-supervised image-text data (2020)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23. Raffel, C., Shazeer, N., Roberts, A., Lee, K., Narang, S., Matena, M., Zhou, Y., Li,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W., Liu, P.J.: Exploring the limits of transfer learning with a unified text-to-text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transformer (2019)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24. Schwenk, H., Wenzek, G., Edunov, S., Grave, E., Joulin, A.: CCMatrix: Mining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billions of high-quality parallel sentences on the web. In: ACL (2021)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25. Smith, J.R., Saint-Amand, H., Plamada, M., Koehn, P., Callison-Burch, C., Lopez,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A.: Dirt cheap web-scale parallel text from the Common Crawl. In: Proceedings of18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M. Turski et al.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51st Annual Meeting of the Association for Computational Linguistics (Volume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1: Long Papers). pp. 1374–1383. Association for Computational Linguistics, Sofia,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Bulgaria (Aug 2013), https://www.aclweb.org/anthology/P13-1135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26. Smith, R.: Tesseract Open Source OCR Engine (2022), https://github.com/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tesseract-ocr/tesseract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27. Turc, I., Chang, M.W., Lee, K., Toutanova, K.: Well-read students learn better: 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importance of pre-training compact models. arXiv preprint arXiv:1908.08962v2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(2019)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28. Wenzek, G., Lachaux, M.A., Conneau, A., Chaudhary, V., Guzmán, F., Joulin, A.,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Grave, E.: CCNet: Extracting high quality monolingual datasets from web crawl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data (2019)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29. Xu, Y., Xu, Y., Lv, T., Cui, L., Wei, F., Wang, G., Lu, Y., Florencio, D., Zhang, C.,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Che, W., Zhang, M., Zhou, L.: LayoutLMv2: Multi-modal pre-training for visually-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rich document understanding. In: ACL-IJCNLP 2021 (January 2021)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30. Xu, Y., Li, M., Cui, L., Huang, S., Wei, F., Zhou, M.: LayoutLM: Pre-training of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text and layout for document image understanding. In: Proceedings of the 26th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ACM SIGKDD International Conference on Knowledge Discovery &amp; Data Mining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31. Xu, Y., Lv, T., Cui, L., Wang, G., Lu, Y., Florencio, D., Zhang, C., Wei, F.: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Layoutxlm: Multimodal pre-training for multilingual visually-rich document un-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derstanding. arXiv preprint arXiv:2004.2104.08836 (2021)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32. Xue, L., Constant, N., Roberts, A., Kale, M., Al-Rfou, R., Siddhant, A., Barua,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A., Raffel, C.: mT5: A massively multilingual pre-trained text-to-text transformer.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In: NAACL (2021)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33. Zhong, X., Tang, J., Yepes, A.J.: Publaynet: largest dataset ever for document lay-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out analysis. In: 2019 International Conference on Document Analysis and Recog-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nition (ICDAR). pp. 1015–1022. IEEE (Sep 2019). ht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