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0D2E" w:rsidRDefault="00C50D2E" w:rsidP="00E739EA">
      <w:pPr>
        <w:spacing w:line="360" w:lineRule="auto"/>
        <w:jc w:val="center"/>
        <w:rPr>
          <w:sz w:val="32"/>
          <w:szCs w:val="32"/>
          <w:lang w:val="da-DK"/>
        </w:rPr>
      </w:pPr>
      <w:r>
        <w:rPr>
          <w:sz w:val="32"/>
          <w:szCs w:val="32"/>
          <w:lang w:val="da-DK"/>
        </w:rPr>
        <w:t>Hjemmeopgave 2</w:t>
      </w:r>
    </w:p>
    <w:p w:rsidR="00C50D2E" w:rsidRDefault="00C50D2E" w:rsidP="00E739EA">
      <w:pPr>
        <w:spacing w:line="360" w:lineRule="auto"/>
        <w:rPr>
          <w:lang w:val="da-DK"/>
        </w:rPr>
      </w:pPr>
    </w:p>
    <w:p w:rsidR="00C50D2E" w:rsidRPr="00F032CA" w:rsidRDefault="00C50D2E" w:rsidP="00E739EA">
      <w:pPr>
        <w:spacing w:line="360" w:lineRule="auto"/>
        <w:rPr>
          <w:rFonts w:ascii="Calibri" w:hAnsi="Calibri" w:cs="Calibri"/>
          <w:sz w:val="22"/>
          <w:szCs w:val="22"/>
          <w:lang w:val="da-DK"/>
        </w:rPr>
      </w:pPr>
      <w:r w:rsidRPr="00F032CA">
        <w:rPr>
          <w:rFonts w:ascii="Calibri" w:hAnsi="Calibri" w:cs="Calibri"/>
          <w:sz w:val="22"/>
          <w:szCs w:val="22"/>
          <w:lang w:val="da-DK"/>
        </w:rPr>
        <w:t xml:space="preserve">Denne opgave vil hovedsagligt omhandle det danske bruttonationalprodukt og forsyningsbalancen. Bruttonationalproduktet, forkortet BNP, er givet ved værdien af den danske produktion fratrukket forbruget i produktionen. BNP er en indikator for den samlede danske velstand. </w:t>
      </w:r>
    </w:p>
    <w:p w:rsidR="00C50D2E" w:rsidRPr="00F032CA" w:rsidRDefault="00C50D2E" w:rsidP="00E739EA">
      <w:pPr>
        <w:spacing w:line="360" w:lineRule="auto"/>
        <w:rPr>
          <w:rFonts w:ascii="Calibri" w:hAnsi="Calibri" w:cs="Calibri"/>
          <w:sz w:val="22"/>
          <w:szCs w:val="22"/>
          <w:lang w:val="da-DK"/>
        </w:rPr>
      </w:pPr>
      <w:r w:rsidRPr="00F032CA">
        <w:rPr>
          <w:rFonts w:ascii="Calibri" w:hAnsi="Calibri" w:cs="Calibri"/>
          <w:sz w:val="22"/>
          <w:szCs w:val="22"/>
          <w:lang w:val="da-DK"/>
        </w:rPr>
        <w:t xml:space="preserve">     Den og andre komponenter ligger også til grund for forsyningsbalancen. Denne er givet ved: </w:t>
      </w:r>
    </w:p>
    <w:p w:rsidR="00C50D2E" w:rsidRPr="00F032CA" w:rsidRDefault="00C50D2E" w:rsidP="00E739EA">
      <w:pPr>
        <w:spacing w:line="360" w:lineRule="auto"/>
        <w:rPr>
          <w:rFonts w:ascii="Calibri" w:eastAsiaTheme="minorEastAsia" w:hAnsi="Calibri" w:cs="Calibri"/>
          <w:sz w:val="22"/>
          <w:szCs w:val="22"/>
          <w:lang w:val="da-DK"/>
        </w:rPr>
      </w:pPr>
      <m:oMathPara>
        <m:oMath>
          <m:r>
            <w:rPr>
              <w:rFonts w:ascii="Cambria Math" w:hAnsi="Cambria Math" w:cs="Calibri"/>
              <w:sz w:val="22"/>
              <w:szCs w:val="22"/>
              <w:lang w:val="da-DK"/>
            </w:rPr>
            <m:t>M+BNP=C+G+I+X</m:t>
          </m:r>
        </m:oMath>
      </m:oMathPara>
    </w:p>
    <w:p w:rsidR="00F032CA" w:rsidRDefault="00F032CA" w:rsidP="00E739EA">
      <w:pPr>
        <w:spacing w:line="360" w:lineRule="auto"/>
        <w:rPr>
          <w:rFonts w:ascii="Calibri" w:eastAsiaTheme="minorEastAsia" w:hAnsi="Calibri" w:cs="Calibri"/>
          <w:sz w:val="22"/>
          <w:szCs w:val="22"/>
          <w:lang w:val="da-DK"/>
        </w:rPr>
      </w:pPr>
      <w:r w:rsidRPr="00F032CA">
        <w:rPr>
          <w:rFonts w:ascii="Calibri" w:eastAsiaTheme="minorEastAsia" w:hAnsi="Calibri" w:cs="Calibri"/>
          <w:sz w:val="22"/>
          <w:szCs w:val="22"/>
          <w:lang w:val="da-DK"/>
        </w:rPr>
        <w:t>Denne ligning indeholder alle delkomponenter i forsyningsbalancen. Dette er opstillet som en ligning, men denne går i dette tilfælde ikke op, da opgaven vil benytte kæde-indekserede priser. Med dette menes, der er renset for inflation, og vi ser derfor på udviklingen af mængde i modsætning til pris- og mængdeudviklingen, som fås, hvis løbende priser bruges. For at kunne løse den tidligere opstillede ligning, ville en beregning være nødvendig. En beregning, opgaven ikke har adgang til</w:t>
      </w:r>
      <w:r>
        <w:rPr>
          <w:rStyle w:val="FootnoteReference"/>
          <w:rFonts w:ascii="Calibri" w:eastAsiaTheme="minorEastAsia" w:hAnsi="Calibri" w:cs="Calibri"/>
          <w:sz w:val="22"/>
          <w:szCs w:val="22"/>
          <w:lang w:val="da-DK"/>
        </w:rPr>
        <w:footnoteReference w:id="1"/>
      </w:r>
      <w:r>
        <w:rPr>
          <w:rFonts w:ascii="Calibri" w:eastAsiaTheme="minorEastAsia" w:hAnsi="Calibri" w:cs="Calibri"/>
          <w:sz w:val="22"/>
          <w:szCs w:val="22"/>
          <w:lang w:val="da-DK"/>
        </w:rPr>
        <w:t>.</w:t>
      </w:r>
      <w:r w:rsidRPr="00F032CA">
        <w:rPr>
          <w:rFonts w:ascii="Calibri" w:eastAsiaTheme="minorEastAsia" w:hAnsi="Calibri" w:cs="Calibri"/>
          <w:sz w:val="22"/>
          <w:szCs w:val="22"/>
          <w:lang w:val="da-DK"/>
        </w:rPr>
        <w:t xml:space="preserve"> </w:t>
      </w:r>
      <w:r w:rsidR="00567253">
        <w:rPr>
          <w:rFonts w:ascii="Calibri" w:eastAsiaTheme="minorEastAsia" w:hAnsi="Calibri" w:cs="Calibri"/>
          <w:sz w:val="22"/>
          <w:szCs w:val="22"/>
          <w:lang w:val="da-DK"/>
        </w:rPr>
        <w:t xml:space="preserve">Hele opgaven gør brug af priser i kædede værdier. </w:t>
      </w:r>
    </w:p>
    <w:p w:rsidR="00567253" w:rsidRDefault="00567253" w:rsidP="00E739EA">
      <w:pPr>
        <w:spacing w:line="360" w:lineRule="auto"/>
        <w:rPr>
          <w:rFonts w:ascii="Calibri" w:eastAsiaTheme="minorEastAsia" w:hAnsi="Calibri" w:cs="Calibri"/>
          <w:sz w:val="22"/>
          <w:szCs w:val="22"/>
          <w:lang w:val="da-DK"/>
        </w:rPr>
      </w:pPr>
    </w:p>
    <w:p w:rsidR="00732C92" w:rsidRDefault="00A66FEE" w:rsidP="00E739EA">
      <w:pPr>
        <w:spacing w:line="360" w:lineRule="auto"/>
        <w:rPr>
          <w:rFonts w:ascii="Calibri" w:eastAsiaTheme="minorEastAsia" w:hAnsi="Calibri" w:cs="Calibri"/>
          <w:sz w:val="22"/>
          <w:szCs w:val="22"/>
          <w:lang w:val="da-DK"/>
        </w:rPr>
      </w:pPr>
      <w:r>
        <w:rPr>
          <w:rFonts w:ascii="Calibri" w:eastAsiaTheme="minorEastAsia" w:hAnsi="Calibri" w:cs="Calibri"/>
          <w:sz w:val="22"/>
          <w:szCs w:val="22"/>
          <w:lang w:val="da-DK"/>
        </w:rPr>
        <w:t>Import, forkortet M, beskriver værdien af de varer og tjenester, der importeres til Danmark, mens eksport, forkortet X, beskriver værdien af de varer og tjenester, der eksporteres fra Danmark. Det private forbrug</w:t>
      </w:r>
      <w:r w:rsidR="00DF14E7">
        <w:rPr>
          <w:rFonts w:ascii="Calibri" w:eastAsiaTheme="minorEastAsia" w:hAnsi="Calibri" w:cs="Calibri"/>
          <w:sz w:val="22"/>
          <w:szCs w:val="22"/>
          <w:lang w:val="da-DK"/>
        </w:rPr>
        <w:t>, forkortet C,</w:t>
      </w:r>
      <w:r>
        <w:rPr>
          <w:rFonts w:ascii="Calibri" w:eastAsiaTheme="minorEastAsia" w:hAnsi="Calibri" w:cs="Calibri"/>
          <w:sz w:val="22"/>
          <w:szCs w:val="22"/>
          <w:lang w:val="da-DK"/>
        </w:rPr>
        <w:t xml:space="preserve"> beskriver alle de penge du og jeg bruger i de danske butikker. Modsat er det offentlige forbrug</w:t>
      </w:r>
      <w:r w:rsidR="00DF14E7">
        <w:rPr>
          <w:rFonts w:ascii="Calibri" w:eastAsiaTheme="minorEastAsia" w:hAnsi="Calibri" w:cs="Calibri"/>
          <w:sz w:val="22"/>
          <w:szCs w:val="22"/>
          <w:lang w:val="da-DK"/>
        </w:rPr>
        <w:t>, forkortet G,</w:t>
      </w:r>
      <w:r>
        <w:rPr>
          <w:rFonts w:ascii="Calibri" w:eastAsiaTheme="minorEastAsia" w:hAnsi="Calibri" w:cs="Calibri"/>
          <w:sz w:val="22"/>
          <w:szCs w:val="22"/>
          <w:lang w:val="da-DK"/>
        </w:rPr>
        <w:t xml:space="preserve"> givet ved aflønning af de offentlige ansatte, og ikke hvor stor deres omsætning eller forbrug af. Dette er fordi, offentlige ydelser, SU, kontanthjælp osv</w:t>
      </w:r>
      <w:r w:rsidR="00611520">
        <w:rPr>
          <w:rFonts w:ascii="Calibri" w:eastAsiaTheme="minorEastAsia" w:hAnsi="Calibri" w:cs="Calibri"/>
          <w:sz w:val="22"/>
          <w:szCs w:val="22"/>
          <w:lang w:val="da-DK"/>
        </w:rPr>
        <w:t>.</w:t>
      </w:r>
      <w:r>
        <w:rPr>
          <w:rFonts w:ascii="Calibri" w:eastAsiaTheme="minorEastAsia" w:hAnsi="Calibri" w:cs="Calibri"/>
          <w:sz w:val="22"/>
          <w:szCs w:val="22"/>
          <w:lang w:val="da-DK"/>
        </w:rPr>
        <w:t>, ikke tilføjer nogen produktionsmæssig værdi for Danmark. Dette sker først, når de kommer i hænderne hos forbrugeren. Det sidste opnævnte komponent er bruttoinvesteringer</w:t>
      </w:r>
      <w:r w:rsidR="00DF14E7">
        <w:rPr>
          <w:rFonts w:ascii="Calibri" w:eastAsiaTheme="minorEastAsia" w:hAnsi="Calibri" w:cs="Calibri"/>
          <w:sz w:val="22"/>
          <w:szCs w:val="22"/>
          <w:lang w:val="da-DK"/>
        </w:rPr>
        <w:t>, forkortet I</w:t>
      </w:r>
      <w:r>
        <w:rPr>
          <w:rFonts w:ascii="Calibri" w:eastAsiaTheme="minorEastAsia" w:hAnsi="Calibri" w:cs="Calibri"/>
          <w:sz w:val="22"/>
          <w:szCs w:val="22"/>
          <w:lang w:val="da-DK"/>
        </w:rPr>
        <w:t>.</w:t>
      </w:r>
      <w:r w:rsidR="00DF14E7">
        <w:rPr>
          <w:rFonts w:ascii="Calibri" w:eastAsiaTheme="minorEastAsia" w:hAnsi="Calibri" w:cs="Calibri"/>
          <w:sz w:val="22"/>
          <w:szCs w:val="22"/>
          <w:lang w:val="da-DK"/>
        </w:rPr>
        <w:t xml:space="preserve"> Dette måler værdien er de investeringer virksomheder</w:t>
      </w:r>
      <w:r>
        <w:rPr>
          <w:rFonts w:ascii="Calibri" w:eastAsiaTheme="minorEastAsia" w:hAnsi="Calibri" w:cs="Calibri"/>
          <w:sz w:val="22"/>
          <w:szCs w:val="22"/>
          <w:lang w:val="da-DK"/>
        </w:rPr>
        <w:t xml:space="preserve"> </w:t>
      </w:r>
      <w:r w:rsidR="00DF14E7">
        <w:rPr>
          <w:rFonts w:ascii="Calibri" w:eastAsiaTheme="minorEastAsia" w:hAnsi="Calibri" w:cs="Calibri"/>
          <w:sz w:val="22"/>
          <w:szCs w:val="22"/>
          <w:lang w:val="da-DK"/>
        </w:rPr>
        <w:t>har foretaget sig. Fx bedre produktionsapparat, køretøjer el.. Ydermere indbefatter dette også lagerforøgelser, som indbefatter overskuds produktion, der bliver lagret til efterkommende år.</w:t>
      </w:r>
      <w:r w:rsidR="00E71663">
        <w:rPr>
          <w:rFonts w:ascii="Calibri" w:eastAsiaTheme="minorEastAsia" w:hAnsi="Calibri" w:cs="Calibri"/>
          <w:sz w:val="22"/>
          <w:szCs w:val="22"/>
          <w:lang w:val="da-DK"/>
        </w:rPr>
        <w:t xml:space="preserve"> </w:t>
      </w:r>
    </w:p>
    <w:p w:rsidR="00732C92" w:rsidRDefault="00732C92" w:rsidP="00E739EA">
      <w:pPr>
        <w:spacing w:line="360" w:lineRule="auto"/>
        <w:rPr>
          <w:rFonts w:ascii="Calibri" w:eastAsiaTheme="minorEastAsia" w:hAnsi="Calibri" w:cs="Calibri"/>
          <w:sz w:val="22"/>
          <w:szCs w:val="22"/>
          <w:lang w:val="da-DK"/>
        </w:rPr>
      </w:pPr>
    </w:p>
    <w:p w:rsidR="00127BF2" w:rsidRDefault="00732C92" w:rsidP="00E739EA">
      <w:pPr>
        <w:spacing w:line="360" w:lineRule="auto"/>
        <w:rPr>
          <w:rFonts w:ascii="Calibri" w:eastAsiaTheme="minorEastAsia" w:hAnsi="Calibri" w:cs="Calibri"/>
          <w:sz w:val="22"/>
          <w:szCs w:val="22"/>
          <w:lang w:val="da-DK"/>
        </w:rPr>
      </w:pPr>
      <w:r>
        <w:rPr>
          <w:rFonts w:ascii="Calibri" w:eastAsiaTheme="minorEastAsia" w:hAnsi="Calibri" w:cs="Calibri"/>
          <w:sz w:val="22"/>
          <w:szCs w:val="22"/>
          <w:lang w:val="da-DK"/>
        </w:rPr>
        <w:t xml:space="preserve">Den første figur viser alle disse delkomponenters udvikling. </w:t>
      </w:r>
      <w:r w:rsidR="00127BF2">
        <w:rPr>
          <w:rFonts w:ascii="Calibri" w:eastAsiaTheme="minorEastAsia" w:hAnsi="Calibri" w:cs="Calibri"/>
          <w:sz w:val="22"/>
          <w:szCs w:val="22"/>
          <w:lang w:val="da-DK"/>
        </w:rPr>
        <w:t xml:space="preserve">Udviklingen er vist i procentvis vækst. Denne beregning er brugt, fordi den giver et hurtigt og nemt billede af vækstraterne i de enkelte år. Samtidig er irrelevant, hvor store størrelserne er, da man tage strømstørrelses egen vækst. Dette gør det nemmere sammenligneligt med andre størrelser. </w:t>
      </w:r>
    </w:p>
    <w:p w:rsidR="00127BF2" w:rsidRDefault="00127BF2" w:rsidP="00E739EA">
      <w:pPr>
        <w:spacing w:line="360" w:lineRule="auto"/>
        <w:rPr>
          <w:rFonts w:ascii="Calibri" w:eastAsiaTheme="minorEastAsia" w:hAnsi="Calibri" w:cs="Calibri"/>
          <w:sz w:val="22"/>
          <w:szCs w:val="22"/>
          <w:lang w:val="da-DK"/>
        </w:rPr>
      </w:pPr>
      <w:r>
        <w:rPr>
          <w:rFonts w:ascii="Calibri" w:eastAsiaTheme="minorEastAsia" w:hAnsi="Calibri" w:cs="Calibri"/>
          <w:sz w:val="22"/>
          <w:szCs w:val="22"/>
          <w:lang w:val="da-DK"/>
        </w:rPr>
        <w:t xml:space="preserve">     Modsat viser den ikke noget om den samlede udvikling, da man tager for de enkelte år. Ydermere kan der i enkelte år være enorme udsving pga. markedets ageren. Der vises heller ikke noget om de</w:t>
      </w:r>
      <w:r w:rsidR="007A26FA">
        <w:rPr>
          <w:rFonts w:ascii="Calibri" w:eastAsiaTheme="minorEastAsia" w:hAnsi="Calibri" w:cs="Calibri"/>
          <w:sz w:val="22"/>
          <w:szCs w:val="22"/>
          <w:lang w:val="da-DK"/>
        </w:rPr>
        <w:t>t</w:t>
      </w:r>
      <w:r>
        <w:rPr>
          <w:rFonts w:ascii="Calibri" w:eastAsiaTheme="minorEastAsia" w:hAnsi="Calibri" w:cs="Calibri"/>
          <w:sz w:val="22"/>
          <w:szCs w:val="22"/>
          <w:lang w:val="da-DK"/>
        </w:rPr>
        <w:t xml:space="preserve"> </w:t>
      </w:r>
      <w:r>
        <w:rPr>
          <w:rFonts w:ascii="Calibri" w:eastAsiaTheme="minorEastAsia" w:hAnsi="Calibri" w:cs="Calibri"/>
          <w:sz w:val="22"/>
          <w:szCs w:val="22"/>
          <w:lang w:val="da-DK"/>
        </w:rPr>
        <w:lastRenderedPageBreak/>
        <w:t xml:space="preserve">absolutte niveau, da </w:t>
      </w:r>
      <w:r w:rsidR="007A26FA">
        <w:rPr>
          <w:rFonts w:ascii="Calibri" w:eastAsiaTheme="minorEastAsia" w:hAnsi="Calibri" w:cs="Calibri"/>
          <w:sz w:val="22"/>
          <w:szCs w:val="22"/>
          <w:lang w:val="da-DK"/>
        </w:rPr>
        <w:t>vi regner en procentvis vækst. Derfor fortælles hverken noget om det absolutte niveau eller det årlige niveau.</w:t>
      </w:r>
      <w:r w:rsidR="006924D1">
        <w:rPr>
          <w:rFonts w:ascii="Calibri" w:eastAsiaTheme="minorEastAsia" w:hAnsi="Calibri" w:cs="Calibri"/>
          <w:sz w:val="22"/>
          <w:szCs w:val="22"/>
          <w:lang w:val="da-DK"/>
        </w:rPr>
        <w:t xml:space="preserve"> </w:t>
      </w:r>
    </w:p>
    <w:p w:rsidR="006924D1" w:rsidRDefault="006924D1" w:rsidP="00E739EA">
      <w:pPr>
        <w:spacing w:line="360" w:lineRule="auto"/>
        <w:rPr>
          <w:rFonts w:ascii="Calibri" w:eastAsiaTheme="minorEastAsia" w:hAnsi="Calibri" w:cs="Calibri"/>
          <w:sz w:val="22"/>
          <w:szCs w:val="22"/>
          <w:lang w:val="da-DK"/>
        </w:rPr>
      </w:pPr>
      <w:r>
        <w:rPr>
          <w:rFonts w:ascii="Calibri" w:eastAsiaTheme="minorEastAsia" w:hAnsi="Calibri" w:cs="Calibri"/>
          <w:sz w:val="22"/>
          <w:szCs w:val="22"/>
          <w:lang w:val="da-DK"/>
        </w:rPr>
        <w:t xml:space="preserve">Får at finde den årlige vækst laves følgende beregning: </w:t>
      </w:r>
    </w:p>
    <w:p w:rsidR="006924D1" w:rsidRPr="006924D1" w:rsidRDefault="007F3B34" w:rsidP="00E739EA">
      <w:pPr>
        <w:spacing w:line="360" w:lineRule="auto"/>
        <w:rPr>
          <w:rFonts w:ascii="Calibri" w:eastAsiaTheme="minorEastAsia" w:hAnsi="Calibri" w:cs="Calibri"/>
          <w:sz w:val="22"/>
          <w:szCs w:val="22"/>
          <w:lang w:val="da-DK"/>
        </w:rPr>
      </w:pPr>
      <m:oMathPara>
        <m:oMath>
          <m:d>
            <m:dPr>
              <m:ctrlPr>
                <w:rPr>
                  <w:rFonts w:ascii="Cambria Math" w:eastAsiaTheme="minorEastAsia" w:hAnsi="Cambria Math" w:cs="Calibri"/>
                  <w:i/>
                  <w:sz w:val="22"/>
                  <w:szCs w:val="22"/>
                  <w:lang w:val="da-DK"/>
                </w:rPr>
              </m:ctrlPr>
            </m:dPr>
            <m:e>
              <m:f>
                <m:fPr>
                  <m:ctrlPr>
                    <w:rPr>
                      <w:rFonts w:ascii="Cambria Math" w:eastAsiaTheme="minorEastAsia" w:hAnsi="Cambria Math" w:cs="Calibri"/>
                      <w:i/>
                      <w:sz w:val="22"/>
                      <w:szCs w:val="22"/>
                      <w:lang w:val="da-DK"/>
                    </w:rPr>
                  </m:ctrlPr>
                </m:fPr>
                <m:num>
                  <m:r>
                    <w:rPr>
                      <w:rFonts w:ascii="Cambria Math" w:eastAsiaTheme="minorEastAsia" w:hAnsi="Cambria Math" w:cs="Calibri"/>
                      <w:sz w:val="22"/>
                      <w:szCs w:val="22"/>
                      <w:lang w:val="da-DK"/>
                    </w:rPr>
                    <m:t>å</m:t>
                  </m:r>
                  <m:sSub>
                    <m:sSubPr>
                      <m:ctrlPr>
                        <w:rPr>
                          <w:rFonts w:ascii="Cambria Math" w:eastAsiaTheme="minorEastAsia" w:hAnsi="Cambria Math" w:cs="Calibri"/>
                          <w:i/>
                          <w:sz w:val="22"/>
                          <w:szCs w:val="22"/>
                          <w:lang w:val="da-DK"/>
                        </w:rPr>
                      </m:ctrlPr>
                    </m:sSubPr>
                    <m:e>
                      <m:r>
                        <w:rPr>
                          <w:rFonts w:ascii="Cambria Math" w:eastAsiaTheme="minorEastAsia" w:hAnsi="Cambria Math" w:cs="Calibri"/>
                          <w:sz w:val="22"/>
                          <w:szCs w:val="22"/>
                          <w:lang w:val="da-DK"/>
                        </w:rPr>
                        <m:t>r</m:t>
                      </m:r>
                    </m:e>
                    <m:sub>
                      <m:r>
                        <w:rPr>
                          <w:rFonts w:ascii="Cambria Math" w:eastAsiaTheme="minorEastAsia" w:hAnsi="Cambria Math" w:cs="Calibri"/>
                          <w:sz w:val="22"/>
                          <w:szCs w:val="22"/>
                          <w:lang w:val="da-DK"/>
                        </w:rPr>
                        <m:t>n</m:t>
                      </m:r>
                    </m:sub>
                  </m:sSub>
                </m:num>
                <m:den>
                  <m:r>
                    <w:rPr>
                      <w:rFonts w:ascii="Cambria Math" w:eastAsiaTheme="minorEastAsia" w:hAnsi="Cambria Math" w:cs="Calibri"/>
                      <w:sz w:val="22"/>
                      <w:szCs w:val="22"/>
                      <w:lang w:val="da-DK"/>
                    </w:rPr>
                    <m:t>å</m:t>
                  </m:r>
                  <m:sSub>
                    <m:sSubPr>
                      <m:ctrlPr>
                        <w:rPr>
                          <w:rFonts w:ascii="Cambria Math" w:eastAsiaTheme="minorEastAsia" w:hAnsi="Cambria Math" w:cs="Calibri"/>
                          <w:i/>
                          <w:sz w:val="22"/>
                          <w:szCs w:val="22"/>
                          <w:lang w:val="da-DK"/>
                        </w:rPr>
                      </m:ctrlPr>
                    </m:sSubPr>
                    <m:e>
                      <m:r>
                        <w:rPr>
                          <w:rFonts w:ascii="Cambria Math" w:eastAsiaTheme="minorEastAsia" w:hAnsi="Cambria Math" w:cs="Calibri"/>
                          <w:sz w:val="22"/>
                          <w:szCs w:val="22"/>
                          <w:lang w:val="da-DK"/>
                        </w:rPr>
                        <m:t>r</m:t>
                      </m:r>
                    </m:e>
                    <m:sub>
                      <m:r>
                        <w:rPr>
                          <w:rFonts w:ascii="Cambria Math" w:eastAsiaTheme="minorEastAsia" w:hAnsi="Cambria Math" w:cs="Calibri"/>
                          <w:sz w:val="22"/>
                          <w:szCs w:val="22"/>
                          <w:lang w:val="da-DK"/>
                        </w:rPr>
                        <m:t>0</m:t>
                      </m:r>
                    </m:sub>
                  </m:sSub>
                </m:den>
              </m:f>
              <m:r>
                <w:rPr>
                  <w:rFonts w:ascii="Cambria Math" w:eastAsiaTheme="minorEastAsia" w:hAnsi="Cambria Math" w:cs="Calibri"/>
                  <w:sz w:val="22"/>
                  <w:szCs w:val="22"/>
                  <w:lang w:val="da-DK"/>
                </w:rPr>
                <m:t>-1</m:t>
              </m:r>
            </m:e>
          </m:d>
          <m:r>
            <w:rPr>
              <w:rFonts w:ascii="Cambria Math" w:eastAsiaTheme="minorEastAsia" w:hAnsi="Cambria Math" w:cs="Calibri"/>
              <w:sz w:val="22"/>
              <w:szCs w:val="22"/>
              <w:lang w:val="da-DK"/>
            </w:rPr>
            <m:t>·100</m:t>
          </m:r>
        </m:oMath>
      </m:oMathPara>
    </w:p>
    <w:p w:rsidR="006924D1" w:rsidRDefault="006924D1" w:rsidP="00E739EA">
      <w:pPr>
        <w:spacing w:line="360" w:lineRule="auto"/>
        <w:rPr>
          <w:rFonts w:ascii="Calibri" w:eastAsiaTheme="minorEastAsia" w:hAnsi="Calibri" w:cs="Calibri"/>
          <w:sz w:val="22"/>
          <w:szCs w:val="22"/>
          <w:lang w:val="da-DK"/>
        </w:rPr>
      </w:pPr>
      <w:r>
        <w:rPr>
          <w:rFonts w:ascii="Calibri" w:eastAsiaTheme="minorEastAsia" w:hAnsi="Calibri" w:cs="Calibri"/>
          <w:sz w:val="22"/>
          <w:szCs w:val="22"/>
          <w:lang w:val="da-DK"/>
        </w:rPr>
        <w:t xml:space="preserve">Man dividerer ens nuværende år med året, man vil sammenligne med, trækker en fra og ganger med 100, for at få procentsatsen. Et konkret et eksempel fra opgavens beregninger kunne være BNP tilvæksten fra 2010-2011: </w:t>
      </w:r>
    </w:p>
    <w:p w:rsidR="006924D1" w:rsidRPr="00F302C2" w:rsidRDefault="007F3B34" w:rsidP="00E739EA">
      <w:pPr>
        <w:spacing w:line="360" w:lineRule="auto"/>
        <w:rPr>
          <w:rFonts w:ascii="Calibri" w:eastAsia="Times New Roman" w:hAnsi="Calibri" w:cs="Times New Roman"/>
          <w:color w:val="000000"/>
          <w:sz w:val="22"/>
          <w:szCs w:val="22"/>
          <w:lang w:eastAsia="en-GB"/>
        </w:rPr>
      </w:pPr>
      <m:oMathPara>
        <m:oMath>
          <m:d>
            <m:dPr>
              <m:ctrlPr>
                <w:rPr>
                  <w:rFonts w:ascii="Cambria Math" w:eastAsia="Times New Roman" w:hAnsi="Cambria Math" w:cs="Times New Roman"/>
                  <w:i/>
                  <w:color w:val="000000"/>
                  <w:sz w:val="22"/>
                  <w:szCs w:val="22"/>
                  <w:lang w:eastAsia="en-GB"/>
                </w:rPr>
              </m:ctrlPr>
            </m:dPr>
            <m:e>
              <m:f>
                <m:fPr>
                  <m:ctrlPr>
                    <w:rPr>
                      <w:rFonts w:ascii="Cambria Math" w:eastAsia="Times New Roman" w:hAnsi="Cambria Math" w:cs="Times New Roman"/>
                      <w:i/>
                      <w:color w:val="000000"/>
                      <w:sz w:val="22"/>
                      <w:szCs w:val="22"/>
                      <w:lang w:eastAsia="en-GB"/>
                    </w:rPr>
                  </m:ctrlPr>
                </m:fPr>
                <m:num>
                  <m:r>
                    <w:rPr>
                      <w:rFonts w:ascii="Cambria Math" w:eastAsia="Times New Roman" w:hAnsi="Cambria Math" w:cs="Times New Roman"/>
                      <w:color w:val="000000"/>
                      <w:sz w:val="22"/>
                      <w:szCs w:val="22"/>
                      <w:lang w:eastAsia="en-GB"/>
                    </w:rPr>
                    <m:t>1835,1</m:t>
                  </m:r>
                </m:num>
                <m:den>
                  <m:r>
                    <w:rPr>
                      <w:rFonts w:ascii="Cambria Math" w:eastAsia="Times New Roman" w:hAnsi="Cambria Math" w:cs="Times New Roman"/>
                      <w:color w:val="000000"/>
                      <w:sz w:val="22"/>
                      <w:szCs w:val="22"/>
                      <w:lang w:eastAsia="en-GB"/>
                    </w:rPr>
                    <m:t>1819,9</m:t>
                  </m:r>
                </m:den>
              </m:f>
              <m:r>
                <w:rPr>
                  <w:rFonts w:ascii="Cambria Math" w:eastAsia="Times New Roman" w:hAnsi="Cambria Math" w:cs="Times New Roman"/>
                  <w:color w:val="000000"/>
                  <w:sz w:val="22"/>
                  <w:szCs w:val="22"/>
                  <w:lang w:eastAsia="en-GB"/>
                </w:rPr>
                <m:t>-1</m:t>
              </m:r>
            </m:e>
          </m:d>
          <m:r>
            <w:rPr>
              <w:rFonts w:ascii="Cambria Math" w:eastAsia="Times New Roman" w:hAnsi="Cambria Math" w:cs="Times New Roman"/>
              <w:color w:val="000000"/>
              <w:sz w:val="22"/>
              <w:szCs w:val="22"/>
              <w:lang w:eastAsia="en-GB"/>
            </w:rPr>
            <m:t>·100=1,3%</m:t>
          </m:r>
        </m:oMath>
      </m:oMathPara>
    </w:p>
    <w:p w:rsidR="00F302C2" w:rsidRDefault="00F302C2" w:rsidP="00E739EA">
      <w:pPr>
        <w:spacing w:line="360" w:lineRule="auto"/>
        <w:rPr>
          <w:rFonts w:ascii="Calibri" w:eastAsia="Times New Roman" w:hAnsi="Calibri" w:cs="Times New Roman"/>
          <w:color w:val="000000"/>
          <w:sz w:val="22"/>
          <w:szCs w:val="22"/>
          <w:lang w:val="da-DK" w:eastAsia="en-GB"/>
        </w:rPr>
      </w:pPr>
      <w:r w:rsidRPr="00F302C2">
        <w:rPr>
          <w:rFonts w:ascii="Calibri" w:eastAsia="Times New Roman" w:hAnsi="Calibri" w:cs="Times New Roman"/>
          <w:color w:val="000000"/>
          <w:sz w:val="22"/>
          <w:szCs w:val="22"/>
          <w:lang w:val="da-DK" w:eastAsia="en-GB"/>
        </w:rPr>
        <w:t>Tilvæksten</w:t>
      </w:r>
      <w:r>
        <w:rPr>
          <w:rFonts w:ascii="Calibri" w:eastAsia="Times New Roman" w:hAnsi="Calibri" w:cs="Times New Roman"/>
          <w:color w:val="000000"/>
          <w:sz w:val="22"/>
          <w:szCs w:val="22"/>
          <w:lang w:val="da-DK" w:eastAsia="en-GB"/>
        </w:rPr>
        <w:t xml:space="preserve"> for BNP</w:t>
      </w:r>
      <w:r w:rsidRPr="00F302C2">
        <w:rPr>
          <w:rFonts w:ascii="Calibri" w:eastAsia="Times New Roman" w:hAnsi="Calibri" w:cs="Times New Roman"/>
          <w:color w:val="000000"/>
          <w:sz w:val="22"/>
          <w:szCs w:val="22"/>
          <w:lang w:val="da-DK" w:eastAsia="en-GB"/>
        </w:rPr>
        <w:t xml:space="preserve"> er derfor 1,3 procent f</w:t>
      </w:r>
      <w:r>
        <w:rPr>
          <w:rFonts w:ascii="Calibri" w:eastAsia="Times New Roman" w:hAnsi="Calibri" w:cs="Times New Roman"/>
          <w:color w:val="000000"/>
          <w:sz w:val="22"/>
          <w:szCs w:val="22"/>
          <w:lang w:val="da-DK" w:eastAsia="en-GB"/>
        </w:rPr>
        <w:t xml:space="preserve">ra 2010-2011. </w:t>
      </w:r>
    </w:p>
    <w:p w:rsidR="00F302C2" w:rsidRDefault="00F302C2" w:rsidP="00E739EA">
      <w:pPr>
        <w:spacing w:line="360" w:lineRule="auto"/>
        <w:rPr>
          <w:rFonts w:ascii="Calibri" w:eastAsia="Times New Roman" w:hAnsi="Calibri" w:cs="Times New Roman"/>
          <w:color w:val="000000"/>
          <w:sz w:val="22"/>
          <w:szCs w:val="22"/>
          <w:lang w:val="da-DK" w:eastAsia="en-GB"/>
        </w:rPr>
      </w:pPr>
    </w:p>
    <w:p w:rsidR="00F302C2" w:rsidRDefault="00F302C2"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 xml:space="preserve">For hele perioden 2000 og frem er der lavet et søjlediagram, der viser alle delkomponenternes individuelle tilvækst hvert år. Figuren ser ud som følgende. </w:t>
      </w:r>
    </w:p>
    <w:p w:rsidR="00F302C2" w:rsidRDefault="00F302C2" w:rsidP="00E739EA">
      <w:pPr>
        <w:spacing w:line="360" w:lineRule="auto"/>
        <w:rPr>
          <w:rFonts w:ascii="Calibri" w:eastAsia="Times New Roman" w:hAnsi="Calibri" w:cs="Times New Roman"/>
          <w:color w:val="000000"/>
          <w:sz w:val="22"/>
          <w:szCs w:val="22"/>
          <w:lang w:val="da-DK" w:eastAsia="en-GB"/>
        </w:rPr>
      </w:pPr>
    </w:p>
    <w:p w:rsidR="00F302C2" w:rsidRDefault="00F302C2" w:rsidP="00E739EA">
      <w:pPr>
        <w:spacing w:line="360" w:lineRule="auto"/>
        <w:rPr>
          <w:rFonts w:ascii="Calibri" w:eastAsia="Times New Roman" w:hAnsi="Calibri" w:cs="Times New Roman"/>
          <w:color w:val="000000"/>
          <w:sz w:val="22"/>
          <w:szCs w:val="22"/>
          <w:lang w:val="da-DK" w:eastAsia="en-GB"/>
        </w:rPr>
      </w:pPr>
      <w:r>
        <w:rPr>
          <w:noProof/>
        </w:rPr>
        <w:drawing>
          <wp:inline distT="0" distB="0" distL="0" distR="0" wp14:anchorId="05562098" wp14:editId="6BBA4894">
            <wp:extent cx="5934710" cy="3086100"/>
            <wp:effectExtent l="0" t="0" r="8890" b="12700"/>
            <wp:docPr id="1" name="Chart 1">
              <a:extLst xmlns:a="http://schemas.openxmlformats.org/drawingml/2006/main">
                <a:ext uri="{FF2B5EF4-FFF2-40B4-BE49-F238E27FC236}">
                  <a16:creationId xmlns:a16="http://schemas.microsoft.com/office/drawing/2014/main" id="{ED5DF6D2-7003-C647-BC90-D4C7F8FFCC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33A8" w:rsidRDefault="000C33A8" w:rsidP="00E739EA">
      <w:pPr>
        <w:spacing w:line="360" w:lineRule="auto"/>
        <w:rPr>
          <w:rFonts w:ascii="Calibri" w:eastAsia="Times New Roman" w:hAnsi="Calibri" w:cs="Times New Roman"/>
          <w:color w:val="000000"/>
          <w:sz w:val="22"/>
          <w:szCs w:val="22"/>
          <w:lang w:val="da-DK" w:eastAsia="en-GB"/>
        </w:rPr>
      </w:pPr>
    </w:p>
    <w:p w:rsidR="00E739EA" w:rsidRDefault="00E739EA"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Den generelle tendens er stigende. Alle delkomponenter er hovedsagligt stigende gennem hele perioden. Via figur 1 kan der udledes en positiv vækst i alle delkomponenter på nær bruttoinvesteringerne, fra 2001-2002. Dette vender dog i 2003, hvor alle delkomponenter har en negativ vækst, lige på nær privatforbruget. Efter 2003 kan der udledes store vækstrater, som først afrundes omkring 2007. I denne 4 årige periode er det især importen, eksporten og bruttoinvesteringerne, der vækster meget. Fx i 2006 stiger importen, eksporten og bruttoinvesteringerne med hhv. Ca. 14%, ca. 10% og ca. 13%.</w:t>
      </w:r>
      <w:r w:rsidR="00087CF6">
        <w:rPr>
          <w:rFonts w:ascii="Calibri" w:eastAsia="Times New Roman" w:hAnsi="Calibri" w:cs="Times New Roman"/>
          <w:color w:val="000000"/>
          <w:sz w:val="22"/>
          <w:szCs w:val="22"/>
          <w:lang w:val="da-DK" w:eastAsia="en-GB"/>
        </w:rPr>
        <w:t xml:space="preserve"> Stigninger, der, i forhold til figuren, er </w:t>
      </w:r>
      <w:r w:rsidR="00087CF6">
        <w:rPr>
          <w:rFonts w:ascii="Calibri" w:eastAsia="Times New Roman" w:hAnsi="Calibri" w:cs="Times New Roman"/>
          <w:color w:val="000000"/>
          <w:sz w:val="22"/>
          <w:szCs w:val="22"/>
          <w:lang w:val="da-DK" w:eastAsia="en-GB"/>
        </w:rPr>
        <w:lastRenderedPageBreak/>
        <w:t>de største i perioden. Den vækstrige periode</w:t>
      </w:r>
      <w:r>
        <w:rPr>
          <w:rFonts w:ascii="Calibri" w:eastAsia="Times New Roman" w:hAnsi="Calibri" w:cs="Times New Roman"/>
          <w:color w:val="000000"/>
          <w:sz w:val="22"/>
          <w:szCs w:val="22"/>
          <w:lang w:val="da-DK" w:eastAsia="en-GB"/>
        </w:rPr>
        <w:t xml:space="preserve"> stopper ikke brat, men væksten aftager fra 2007, og i 2009 sker de første større negative vækstrater.</w:t>
      </w:r>
      <w:r w:rsidR="00087CF6">
        <w:rPr>
          <w:rFonts w:ascii="Calibri" w:eastAsia="Times New Roman" w:hAnsi="Calibri" w:cs="Times New Roman"/>
          <w:color w:val="000000"/>
          <w:sz w:val="22"/>
          <w:szCs w:val="22"/>
          <w:lang w:val="da-DK" w:eastAsia="en-GB"/>
        </w:rPr>
        <w:t xml:space="preserve"> Her skal specielt importen og bruttoinvesteringerne nævnes. De falder hhv. Ca. -12% og ca. -21%. Et stykke fra de positive stigninger 3 år tidligere. </w:t>
      </w:r>
      <w:r w:rsidR="00820E0E">
        <w:rPr>
          <w:rFonts w:ascii="Calibri" w:eastAsia="Times New Roman" w:hAnsi="Calibri" w:cs="Times New Roman"/>
          <w:color w:val="000000"/>
          <w:sz w:val="22"/>
          <w:szCs w:val="22"/>
          <w:lang w:val="da-DK" w:eastAsia="en-GB"/>
        </w:rPr>
        <w:t xml:space="preserve">Året efter er der nogle delkomponenter, der ikke stiger eller falder særlig meget, dog viser eksporten at have en respektabel vækst på ca. 3% i forhold til året tidligere. Året efter stiger både importen og eksporten til et lokalt maksimum, da begge vokser med omkring 8% i forhold til året før. Perioden 2012-13 er endnu et vendepunkt, for her finder alle delkomponenter et lokalt minimum. Dog påbegyndes en stigende vækst i alle delkomponenter, som følger figurens levetid ud. Fra 2013 svinger alle delkomponenter omkring en årlig vækst på 3%. </w:t>
      </w:r>
    </w:p>
    <w:p w:rsidR="004754D2" w:rsidRDefault="004754D2" w:rsidP="00E739EA">
      <w:pPr>
        <w:spacing w:line="360" w:lineRule="auto"/>
        <w:rPr>
          <w:rFonts w:ascii="Calibri" w:eastAsia="Times New Roman" w:hAnsi="Calibri" w:cs="Times New Roman"/>
          <w:color w:val="000000"/>
          <w:sz w:val="22"/>
          <w:szCs w:val="22"/>
          <w:lang w:val="da-DK" w:eastAsia="en-GB"/>
        </w:rPr>
      </w:pPr>
    </w:p>
    <w:p w:rsidR="009F4A51" w:rsidRDefault="00677F3A"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Fra at følge alle delkomponenternes udvikling vil fokusset nu lægges på bruttonationalproduktet. Til dette vil opgaven benytte kvartalsbaserede tal</w:t>
      </w:r>
      <w:r w:rsidR="000F130B">
        <w:rPr>
          <w:rFonts w:ascii="Calibri" w:eastAsia="Times New Roman" w:hAnsi="Calibri" w:cs="Times New Roman"/>
          <w:color w:val="000000"/>
          <w:sz w:val="22"/>
          <w:szCs w:val="22"/>
          <w:lang w:val="da-DK" w:eastAsia="en-GB"/>
        </w:rPr>
        <w:t xml:space="preserve">. Ved disse kvartaler vil der beregnes et 5 kvartalers glidende gennemsnit, og en afvigelse fra tendenslinjes i samme periode. </w:t>
      </w:r>
      <w:r w:rsidR="009F4A51">
        <w:rPr>
          <w:rFonts w:ascii="Calibri" w:eastAsia="Times New Roman" w:hAnsi="Calibri" w:cs="Times New Roman"/>
          <w:color w:val="000000"/>
          <w:sz w:val="22"/>
          <w:szCs w:val="22"/>
          <w:lang w:val="da-DK" w:eastAsia="en-GB"/>
        </w:rPr>
        <w:t xml:space="preserve">Laves dette glidende gennemsnit ikke, fås normalt en savtakkende kurve. Dette er tilfældet, da vores data fra statistikbanken.dk allerede er sæsonkorrigeret. </w:t>
      </w:r>
    </w:p>
    <w:p w:rsidR="009F4A51" w:rsidRDefault="009F4A51"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 xml:space="preserve">    Det dårlige ved sæsonkorrektion er tab af informationer. Er det nogen specielle observationer, såkaldte outliers, er de renset væk gennem det glidende gennemsnit. Dette kan dog også være en positiv, da det fjerner outliers i enkelte kvartaler, der fx ikke har været årene forinden. </w:t>
      </w:r>
      <w:r w:rsidR="00390EFF">
        <w:rPr>
          <w:rFonts w:ascii="Calibri" w:eastAsia="Times New Roman" w:hAnsi="Calibri" w:cs="Times New Roman"/>
          <w:color w:val="000000"/>
          <w:sz w:val="22"/>
          <w:szCs w:val="22"/>
          <w:lang w:val="da-DK" w:eastAsia="en-GB"/>
        </w:rPr>
        <w:t xml:space="preserve">Eller hvis, der har været en katastrofe og bruttoinvesteringer el. vokser uden videre forklaring. Dette ”renser” en simpel sæsonkorrektion for. </w:t>
      </w:r>
    </w:p>
    <w:p w:rsidR="0026601E" w:rsidRDefault="0026601E"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 xml:space="preserve">     Beregningen er lavet på følgende måde. Eksemplet er taget fra første mulige kvartal 2000 andet kvartal. </w:t>
      </w:r>
    </w:p>
    <w:p w:rsidR="0026601E" w:rsidRPr="003826CA" w:rsidRDefault="007F3B34" w:rsidP="00E739EA">
      <w:pPr>
        <w:spacing w:line="360" w:lineRule="auto"/>
        <w:rPr>
          <w:rFonts w:ascii="Calibri" w:eastAsia="Times New Roman" w:hAnsi="Calibri" w:cs="Times New Roman"/>
          <w:color w:val="000000"/>
          <w:sz w:val="22"/>
          <w:szCs w:val="22"/>
          <w:lang w:val="da-DK" w:eastAsia="en-GB"/>
        </w:rPr>
      </w:pPr>
      <m:oMathPara>
        <m:oMath>
          <m:f>
            <m:fPr>
              <m:ctrlPr>
                <w:rPr>
                  <w:rFonts w:ascii="Cambria Math" w:eastAsia="Times New Roman" w:hAnsi="Cambria Math" w:cs="Times New Roman"/>
                  <w:i/>
                  <w:color w:val="000000"/>
                  <w:sz w:val="22"/>
                  <w:szCs w:val="22"/>
                  <w:lang w:val="da-DK" w:eastAsia="en-GB"/>
                </w:rPr>
              </m:ctrlPr>
            </m:fPr>
            <m:num>
              <m:r>
                <w:rPr>
                  <w:rFonts w:ascii="Cambria Math" w:eastAsia="Times New Roman" w:hAnsi="Cambria Math" w:cs="Times New Roman"/>
                  <w:color w:val="000000"/>
                  <w:sz w:val="22"/>
                  <w:szCs w:val="22"/>
                  <w:lang w:val="da-DK" w:eastAsia="en-GB"/>
                </w:rPr>
                <m:t>410,2+414,2+418,9+420+424,1</m:t>
              </m:r>
            </m:num>
            <m:den>
              <m:r>
                <w:rPr>
                  <w:rFonts w:ascii="Cambria Math" w:eastAsia="Times New Roman" w:hAnsi="Cambria Math" w:cs="Times New Roman"/>
                  <w:color w:val="000000"/>
                  <w:sz w:val="22"/>
                  <w:szCs w:val="22"/>
                  <w:lang w:val="da-DK" w:eastAsia="en-GB"/>
                </w:rPr>
                <m:t>5</m:t>
              </m:r>
            </m:den>
          </m:f>
          <m:r>
            <w:rPr>
              <w:rFonts w:ascii="Cambria Math" w:eastAsia="Times New Roman" w:hAnsi="Cambria Math" w:cs="Times New Roman"/>
              <w:color w:val="000000"/>
              <w:sz w:val="22"/>
              <w:szCs w:val="22"/>
              <w:lang w:val="da-DK" w:eastAsia="en-GB"/>
            </w:rPr>
            <m:t>=417,48</m:t>
          </m:r>
        </m:oMath>
      </m:oMathPara>
    </w:p>
    <w:p w:rsidR="003826CA" w:rsidRDefault="003826CA"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 xml:space="preserve">Denne beregning er vist i figur 2. Yderligere viser den også den generelle tendens gennem hele perioden. Når disse er fundet, kan afvigelsen fra tendenslinjen findes. </w:t>
      </w:r>
      <w:r w:rsidR="00C22057">
        <w:rPr>
          <w:rFonts w:ascii="Calibri" w:eastAsia="Times New Roman" w:hAnsi="Calibri" w:cs="Times New Roman"/>
          <w:color w:val="000000"/>
          <w:sz w:val="22"/>
          <w:szCs w:val="22"/>
          <w:lang w:val="da-DK" w:eastAsia="en-GB"/>
        </w:rPr>
        <w:t xml:space="preserve">Denne findes ved at tage forskriften for tendenslinjen, og sætte nummeret for kvartalen ind. </w:t>
      </w:r>
      <w:r w:rsidR="00C3077F">
        <w:rPr>
          <w:rFonts w:ascii="Calibri" w:eastAsia="Times New Roman" w:hAnsi="Calibri" w:cs="Times New Roman"/>
          <w:color w:val="000000"/>
          <w:sz w:val="22"/>
          <w:szCs w:val="22"/>
          <w:lang w:val="da-DK" w:eastAsia="en-GB"/>
        </w:rPr>
        <w:t xml:space="preserve">Forskriften for tendenslinjen lyder: </w:t>
      </w:r>
    </w:p>
    <w:p w:rsidR="00C3077F" w:rsidRPr="00C3077F" w:rsidRDefault="00C3077F" w:rsidP="00E739EA">
      <w:pPr>
        <w:spacing w:line="360" w:lineRule="auto"/>
        <w:rPr>
          <w:rFonts w:ascii="Calibri" w:eastAsia="Times New Roman" w:hAnsi="Calibri" w:cs="Times New Roman"/>
          <w:color w:val="000000"/>
          <w:sz w:val="22"/>
          <w:szCs w:val="22"/>
          <w:lang w:val="da-DK" w:eastAsia="en-GB"/>
        </w:rPr>
      </w:pPr>
      <m:oMathPara>
        <m:oMath>
          <m:r>
            <w:rPr>
              <w:rFonts w:ascii="Cambria Math" w:eastAsia="Times New Roman" w:hAnsi="Cambria Math" w:cs="Times New Roman"/>
              <w:color w:val="000000"/>
              <w:sz w:val="22"/>
              <w:szCs w:val="22"/>
              <w:lang w:val="da-DK" w:eastAsia="en-GB"/>
            </w:rPr>
            <m:t>413,32·</m:t>
          </m:r>
          <m:sSup>
            <m:sSupPr>
              <m:ctrlPr>
                <w:rPr>
                  <w:rFonts w:ascii="Cambria Math" w:eastAsia="Times New Roman" w:hAnsi="Cambria Math" w:cs="Times New Roman"/>
                  <w:i/>
                  <w:color w:val="000000"/>
                  <w:sz w:val="22"/>
                  <w:szCs w:val="22"/>
                  <w:lang w:val="da-DK" w:eastAsia="en-GB"/>
                </w:rPr>
              </m:ctrlPr>
            </m:sSupPr>
            <m:e>
              <m:r>
                <m:rPr>
                  <m:sty m:val="bi"/>
                </m:rPr>
                <w:rPr>
                  <w:rFonts w:ascii="Cambria Math" w:eastAsia="Times New Roman" w:hAnsi="Cambria Math" w:cs="Times New Roman"/>
                  <w:color w:val="000000"/>
                  <w:sz w:val="22"/>
                  <w:szCs w:val="22"/>
                  <w:lang w:val="da-DK" w:eastAsia="en-GB"/>
                </w:rPr>
                <m:t>e</m:t>
              </m:r>
              <m:ctrlPr>
                <w:rPr>
                  <w:rFonts w:ascii="Cambria Math" w:eastAsia="Times New Roman" w:hAnsi="Cambria Math" w:cs="Times New Roman"/>
                  <w:b/>
                  <w:bCs/>
                  <w:i/>
                  <w:color w:val="000000"/>
                  <w:sz w:val="22"/>
                  <w:szCs w:val="22"/>
                  <w:lang w:val="da-DK" w:eastAsia="en-GB"/>
                </w:rPr>
              </m:ctrlPr>
            </m:e>
            <m:sup>
              <m:r>
                <w:rPr>
                  <w:rFonts w:ascii="Cambria Math" w:eastAsia="Times New Roman" w:hAnsi="Cambria Math" w:cs="Times New Roman"/>
                  <w:color w:val="000000"/>
                  <w:sz w:val="22"/>
                  <w:szCs w:val="22"/>
                  <w:lang w:val="da-DK" w:eastAsia="en-GB"/>
                </w:rPr>
                <m:t>0.0027x</m:t>
              </m:r>
            </m:sup>
          </m:sSup>
        </m:oMath>
      </m:oMathPara>
    </w:p>
    <w:p w:rsidR="00C3077F" w:rsidRDefault="003F289C"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 xml:space="preserve">Her sættes 10 ind for det tiende kvartal i rækken, og resultatet sættes i nævneren, mens det glidende gennemsnit sættes i tælleren. Eksemplet er for det tiende kvartal opgavens rækkefølge, også kendt som første kvartal i 2002. Beregningen er: </w:t>
      </w:r>
    </w:p>
    <w:p w:rsidR="003F289C" w:rsidRPr="007B0613" w:rsidRDefault="007F3B34" w:rsidP="00E739EA">
      <w:pPr>
        <w:spacing w:line="360" w:lineRule="auto"/>
        <w:rPr>
          <w:rFonts w:ascii="Calibri" w:eastAsia="Times New Roman" w:hAnsi="Calibri" w:cs="Times New Roman"/>
          <w:color w:val="000000"/>
          <w:sz w:val="22"/>
          <w:szCs w:val="22"/>
          <w:lang w:val="da-DK" w:eastAsia="en-GB"/>
        </w:rPr>
      </w:pPr>
      <m:oMathPara>
        <m:oMath>
          <m:d>
            <m:dPr>
              <m:ctrlPr>
                <w:rPr>
                  <w:rFonts w:ascii="Cambria Math" w:eastAsia="Times New Roman" w:hAnsi="Cambria Math" w:cs="Times New Roman"/>
                  <w:i/>
                  <w:color w:val="000000"/>
                  <w:sz w:val="22"/>
                  <w:szCs w:val="22"/>
                  <w:lang w:val="da-DK" w:eastAsia="en-GB"/>
                </w:rPr>
              </m:ctrlPr>
            </m:dPr>
            <m:e>
              <m:f>
                <m:fPr>
                  <m:ctrlPr>
                    <w:rPr>
                      <w:rFonts w:ascii="Cambria Math" w:eastAsia="Times New Roman" w:hAnsi="Cambria Math" w:cs="Times New Roman"/>
                      <w:i/>
                      <w:color w:val="000000"/>
                      <w:sz w:val="22"/>
                      <w:szCs w:val="22"/>
                      <w:lang w:val="da-DK" w:eastAsia="en-GB"/>
                    </w:rPr>
                  </m:ctrlPr>
                </m:fPr>
                <m:num>
                  <m:r>
                    <w:rPr>
                      <w:rFonts w:ascii="Cambria Math" w:eastAsia="Times New Roman" w:hAnsi="Cambria Math" w:cs="Times New Roman"/>
                      <w:color w:val="000000"/>
                      <w:sz w:val="22"/>
                      <w:szCs w:val="22"/>
                      <w:lang w:val="da-DK" w:eastAsia="en-GB"/>
                    </w:rPr>
                    <m:t>424,88</m:t>
                  </m:r>
                </m:num>
                <m:den>
                  <m:r>
                    <w:rPr>
                      <w:rFonts w:ascii="Cambria Math" w:eastAsia="Times New Roman" w:hAnsi="Cambria Math" w:cs="Times New Roman"/>
                      <w:color w:val="000000"/>
                      <w:sz w:val="22"/>
                      <w:szCs w:val="22"/>
                      <w:lang w:val="da-DK" w:eastAsia="en-GB"/>
                    </w:rPr>
                    <m:t>413,32·</m:t>
                  </m:r>
                  <m:sSup>
                    <m:sSupPr>
                      <m:ctrlPr>
                        <w:rPr>
                          <w:rFonts w:ascii="Cambria Math" w:eastAsia="Times New Roman" w:hAnsi="Cambria Math" w:cs="Times New Roman"/>
                          <w:i/>
                          <w:color w:val="000000"/>
                          <w:sz w:val="22"/>
                          <w:szCs w:val="22"/>
                          <w:lang w:val="da-DK" w:eastAsia="en-GB"/>
                        </w:rPr>
                      </m:ctrlPr>
                    </m:sSupPr>
                    <m:e>
                      <m:r>
                        <m:rPr>
                          <m:sty m:val="bi"/>
                        </m:rPr>
                        <w:rPr>
                          <w:rFonts w:ascii="Cambria Math" w:eastAsia="Times New Roman" w:hAnsi="Cambria Math" w:cs="Times New Roman"/>
                          <w:color w:val="000000"/>
                          <w:sz w:val="22"/>
                          <w:szCs w:val="22"/>
                          <w:lang w:val="da-DK" w:eastAsia="en-GB"/>
                        </w:rPr>
                        <m:t>e</m:t>
                      </m:r>
                      <m:ctrlPr>
                        <w:rPr>
                          <w:rFonts w:ascii="Cambria Math" w:eastAsia="Times New Roman" w:hAnsi="Cambria Math" w:cs="Times New Roman"/>
                          <w:b/>
                          <w:bCs/>
                          <w:i/>
                          <w:color w:val="000000"/>
                          <w:sz w:val="22"/>
                          <w:szCs w:val="22"/>
                          <w:lang w:val="da-DK" w:eastAsia="en-GB"/>
                        </w:rPr>
                      </m:ctrlPr>
                    </m:e>
                    <m:sup>
                      <m:r>
                        <w:rPr>
                          <w:rFonts w:ascii="Cambria Math" w:eastAsia="Times New Roman" w:hAnsi="Cambria Math" w:cs="Times New Roman"/>
                          <w:color w:val="000000"/>
                          <w:sz w:val="22"/>
                          <w:szCs w:val="22"/>
                          <w:lang w:val="da-DK" w:eastAsia="en-GB"/>
                        </w:rPr>
                        <m:t>0,002·10</m:t>
                      </m:r>
                    </m:sup>
                  </m:sSup>
                  <m:r>
                    <w:rPr>
                      <w:rFonts w:ascii="Cambria Math" w:eastAsia="Times New Roman" w:hAnsi="Cambria Math" w:cs="Times New Roman"/>
                      <w:color w:val="000000"/>
                      <w:sz w:val="22"/>
                      <w:szCs w:val="22"/>
                      <w:lang w:val="da-DK" w:eastAsia="en-GB"/>
                    </w:rPr>
                    <m:t xml:space="preserve">  </m:t>
                  </m:r>
                </m:den>
              </m:f>
              <m:r>
                <w:rPr>
                  <w:rFonts w:ascii="Cambria Math" w:eastAsia="Times New Roman" w:hAnsi="Cambria Math" w:cs="Times New Roman"/>
                  <w:color w:val="000000"/>
                  <w:sz w:val="22"/>
                  <w:szCs w:val="22"/>
                  <w:lang w:val="da-DK" w:eastAsia="en-GB"/>
                </w:rPr>
                <m:t>-1</m:t>
              </m:r>
            </m:e>
          </m:d>
          <m:r>
            <w:rPr>
              <w:rFonts w:ascii="Cambria Math" w:eastAsia="Times New Roman" w:hAnsi="Cambria Math" w:cs="Times New Roman"/>
              <w:color w:val="000000"/>
              <w:sz w:val="22"/>
              <w:szCs w:val="22"/>
              <w:lang w:val="da-DK" w:eastAsia="en-GB"/>
            </w:rPr>
            <m:t>·100=0,058484</m:t>
          </m:r>
        </m:oMath>
      </m:oMathPara>
    </w:p>
    <w:p w:rsidR="006A0C95" w:rsidRDefault="007B0613"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lastRenderedPageBreak/>
        <w:t xml:space="preserve">Afvigelsen fra tendenslinjen i dette kvartal er derfor 0,05 procent eller </w:t>
      </w:r>
      <w:r w:rsidR="00E13338">
        <w:rPr>
          <w:rFonts w:ascii="Calibri" w:eastAsia="Times New Roman" w:hAnsi="Calibri" w:cs="Times New Roman"/>
          <w:color w:val="000000"/>
          <w:sz w:val="22"/>
          <w:szCs w:val="22"/>
          <w:lang w:val="da-DK" w:eastAsia="en-GB"/>
        </w:rPr>
        <w:t xml:space="preserve">0,5 promille. </w:t>
      </w:r>
      <w:r w:rsidR="006A0C95">
        <w:rPr>
          <w:rFonts w:ascii="Calibri" w:eastAsia="Times New Roman" w:hAnsi="Calibri" w:cs="Times New Roman"/>
          <w:color w:val="000000"/>
          <w:sz w:val="22"/>
          <w:szCs w:val="22"/>
          <w:lang w:val="da-DK" w:eastAsia="en-GB"/>
        </w:rPr>
        <w:t xml:space="preserve">Efterfølgende er de procentvise vækst fundet ved at trække </w:t>
      </w:r>
      <m:oMath>
        <m:r>
          <w:rPr>
            <w:rFonts w:ascii="Cambria Math" w:eastAsia="Times New Roman" w:hAnsi="Cambria Math" w:cs="Times New Roman"/>
            <w:color w:val="000000"/>
            <w:sz w:val="22"/>
            <w:szCs w:val="22"/>
            <w:lang w:val="da-DK" w:eastAsia="en-GB"/>
          </w:rPr>
          <m:t>å</m:t>
        </m:r>
        <m:sSub>
          <m:sSubPr>
            <m:ctrlPr>
              <w:rPr>
                <w:rFonts w:ascii="Cambria Math" w:eastAsia="Times New Roman" w:hAnsi="Cambria Math" w:cs="Times New Roman"/>
                <w:i/>
                <w:color w:val="000000"/>
                <w:sz w:val="22"/>
                <w:szCs w:val="22"/>
                <w:lang w:val="da-DK" w:eastAsia="en-GB"/>
              </w:rPr>
            </m:ctrlPr>
          </m:sSubPr>
          <m:e>
            <m:r>
              <w:rPr>
                <w:rFonts w:ascii="Cambria Math" w:eastAsia="Times New Roman" w:hAnsi="Cambria Math" w:cs="Times New Roman"/>
                <w:color w:val="000000"/>
                <w:sz w:val="22"/>
                <w:szCs w:val="22"/>
                <w:lang w:val="da-DK" w:eastAsia="en-GB"/>
              </w:rPr>
              <m:t>r</m:t>
            </m:r>
          </m:e>
          <m:sub>
            <m:r>
              <w:rPr>
                <w:rFonts w:ascii="Cambria Math" w:eastAsia="Times New Roman" w:hAnsi="Cambria Math" w:cs="Times New Roman"/>
                <w:color w:val="000000"/>
                <w:sz w:val="22"/>
                <w:szCs w:val="22"/>
                <w:lang w:val="da-DK" w:eastAsia="en-GB"/>
              </w:rPr>
              <m:t>0</m:t>
            </m:r>
          </m:sub>
        </m:sSub>
      </m:oMath>
      <w:r w:rsidR="006A0C95">
        <w:rPr>
          <w:rFonts w:ascii="Calibri" w:eastAsia="Times New Roman" w:hAnsi="Calibri" w:cs="Times New Roman"/>
          <w:color w:val="000000"/>
          <w:sz w:val="22"/>
          <w:szCs w:val="22"/>
          <w:lang w:val="da-DK" w:eastAsia="en-GB"/>
        </w:rPr>
        <w:t xml:space="preserve"> fra </w:t>
      </w:r>
      <m:oMath>
        <m:r>
          <w:rPr>
            <w:rFonts w:ascii="Cambria Math" w:eastAsia="Times New Roman" w:hAnsi="Cambria Math" w:cs="Times New Roman"/>
            <w:color w:val="000000"/>
            <w:sz w:val="22"/>
            <w:szCs w:val="22"/>
            <w:lang w:val="da-DK" w:eastAsia="en-GB"/>
          </w:rPr>
          <m:t>å</m:t>
        </m:r>
        <m:sSub>
          <m:sSubPr>
            <m:ctrlPr>
              <w:rPr>
                <w:rFonts w:ascii="Cambria Math" w:eastAsia="Times New Roman" w:hAnsi="Cambria Math" w:cs="Times New Roman"/>
                <w:i/>
                <w:color w:val="000000"/>
                <w:sz w:val="22"/>
                <w:szCs w:val="22"/>
                <w:lang w:val="da-DK" w:eastAsia="en-GB"/>
              </w:rPr>
            </m:ctrlPr>
          </m:sSubPr>
          <m:e>
            <m:r>
              <w:rPr>
                <w:rFonts w:ascii="Cambria Math" w:eastAsia="Times New Roman" w:hAnsi="Cambria Math" w:cs="Times New Roman"/>
                <w:color w:val="000000"/>
                <w:sz w:val="22"/>
                <w:szCs w:val="22"/>
                <w:lang w:val="da-DK" w:eastAsia="en-GB"/>
              </w:rPr>
              <m:t>r</m:t>
            </m:r>
          </m:e>
          <m:sub>
            <m:r>
              <w:rPr>
                <w:rFonts w:ascii="Cambria Math" w:eastAsia="Times New Roman" w:hAnsi="Cambria Math" w:cs="Times New Roman"/>
                <w:color w:val="000000"/>
                <w:sz w:val="22"/>
                <w:szCs w:val="22"/>
                <w:lang w:val="da-DK" w:eastAsia="en-GB"/>
              </w:rPr>
              <m:t>n</m:t>
            </m:r>
          </m:sub>
        </m:sSub>
      </m:oMath>
      <w:r w:rsidR="006A0C95">
        <w:rPr>
          <w:rFonts w:ascii="Calibri" w:eastAsia="Times New Roman" w:hAnsi="Calibri" w:cs="Times New Roman"/>
          <w:color w:val="000000"/>
          <w:sz w:val="22"/>
          <w:szCs w:val="22"/>
          <w:lang w:val="da-DK" w:eastAsia="en-GB"/>
        </w:rPr>
        <w:t xml:space="preserve">. Dette er lagt ind i figuren som søjler. </w:t>
      </w:r>
    </w:p>
    <w:p w:rsidR="006A0C95" w:rsidRDefault="006A0C95" w:rsidP="00E739EA">
      <w:pPr>
        <w:spacing w:line="360" w:lineRule="auto"/>
        <w:rPr>
          <w:rFonts w:ascii="Calibri" w:eastAsia="Times New Roman" w:hAnsi="Calibri" w:cs="Times New Roman"/>
          <w:color w:val="000000"/>
          <w:sz w:val="22"/>
          <w:szCs w:val="22"/>
          <w:lang w:val="da-DK" w:eastAsia="en-GB"/>
        </w:rPr>
      </w:pPr>
    </w:p>
    <w:p w:rsidR="006A0C95" w:rsidRDefault="003C0A65" w:rsidP="00E739EA">
      <w:pPr>
        <w:spacing w:line="360" w:lineRule="auto"/>
        <w:rPr>
          <w:rFonts w:ascii="Calibri" w:eastAsia="Times New Roman" w:hAnsi="Calibri" w:cs="Times New Roman"/>
          <w:color w:val="000000"/>
          <w:sz w:val="22"/>
          <w:szCs w:val="22"/>
          <w:lang w:val="da-DK" w:eastAsia="en-GB"/>
        </w:rPr>
      </w:pPr>
      <w:r>
        <w:rPr>
          <w:noProof/>
        </w:rPr>
        <w:drawing>
          <wp:inline distT="0" distB="0" distL="0" distR="0" wp14:anchorId="1FEEA10A" wp14:editId="7F950B99">
            <wp:extent cx="5731510" cy="3237230"/>
            <wp:effectExtent l="0" t="0" r="8890" b="13970"/>
            <wp:docPr id="3" name="Chart 3">
              <a:extLst xmlns:a="http://schemas.openxmlformats.org/drawingml/2006/main">
                <a:ext uri="{FF2B5EF4-FFF2-40B4-BE49-F238E27FC236}">
                  <a16:creationId xmlns:a16="http://schemas.microsoft.com/office/drawing/2014/main" id="{0AB13603-65CB-774F-AF94-1C8535D13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56A81" w:rsidRPr="00656A81" w:rsidRDefault="00B97050" w:rsidP="00656A81">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Tendensen er tydeligt en positiv stigning. Fra figurens start til f</w:t>
      </w:r>
      <w:r w:rsidR="00656A81">
        <w:rPr>
          <w:rFonts w:ascii="Calibri" w:eastAsia="Times New Roman" w:hAnsi="Calibri" w:cs="Times New Roman"/>
          <w:color w:val="000000"/>
          <w:sz w:val="22"/>
          <w:szCs w:val="22"/>
          <w:lang w:val="da-DK" w:eastAsia="en-GB"/>
        </w:rPr>
        <w:t>ørste</w:t>
      </w:r>
      <w:r>
        <w:rPr>
          <w:rFonts w:ascii="Calibri" w:eastAsia="Times New Roman" w:hAnsi="Calibri" w:cs="Times New Roman"/>
          <w:color w:val="000000"/>
          <w:sz w:val="22"/>
          <w:szCs w:val="22"/>
          <w:lang w:val="da-DK" w:eastAsia="en-GB"/>
        </w:rPr>
        <w:t xml:space="preserve"> kvartal i 2008, er der en streng </w:t>
      </w:r>
      <w:r w:rsidR="00656A81">
        <w:rPr>
          <w:rFonts w:ascii="Calibri" w:eastAsia="Times New Roman" w:hAnsi="Calibri" w:cs="Times New Roman"/>
          <w:color w:val="000000"/>
          <w:sz w:val="22"/>
          <w:szCs w:val="22"/>
          <w:lang w:val="da-DK" w:eastAsia="en-GB"/>
        </w:rPr>
        <w:t>positiv</w:t>
      </w:r>
      <w:r>
        <w:rPr>
          <w:rFonts w:ascii="Calibri" w:eastAsia="Times New Roman" w:hAnsi="Calibri" w:cs="Times New Roman"/>
          <w:color w:val="000000"/>
          <w:sz w:val="22"/>
          <w:szCs w:val="22"/>
          <w:lang w:val="da-DK" w:eastAsia="en-GB"/>
        </w:rPr>
        <w:t xml:space="preserve"> stigning. Her går BNP fra ca. 410 mia</w:t>
      </w:r>
      <w:r w:rsidR="00656A81">
        <w:rPr>
          <w:rFonts w:ascii="Calibri" w:eastAsia="Times New Roman" w:hAnsi="Calibri" w:cs="Times New Roman"/>
          <w:color w:val="000000"/>
          <w:sz w:val="22"/>
          <w:szCs w:val="22"/>
          <w:lang w:val="da-DK" w:eastAsia="en-GB"/>
        </w:rPr>
        <w:t>.</w:t>
      </w:r>
      <w:r>
        <w:rPr>
          <w:rFonts w:ascii="Calibri" w:eastAsia="Times New Roman" w:hAnsi="Calibri" w:cs="Times New Roman"/>
          <w:color w:val="000000"/>
          <w:sz w:val="22"/>
          <w:szCs w:val="22"/>
          <w:lang w:val="da-DK" w:eastAsia="en-GB"/>
        </w:rPr>
        <w:t xml:space="preserve"> kroner til </w:t>
      </w:r>
      <w:r w:rsidR="00656A81">
        <w:rPr>
          <w:rFonts w:ascii="Calibri" w:eastAsia="Times New Roman" w:hAnsi="Calibri" w:cs="Times New Roman"/>
          <w:color w:val="000000"/>
          <w:sz w:val="22"/>
          <w:szCs w:val="22"/>
          <w:lang w:val="da-DK" w:eastAsia="en-GB"/>
        </w:rPr>
        <w:t>lige under 480 lige før dykket i første kvartal af 2008. Det falder efterfølgende til et lokalt minimum ved tredje kvartal i 2009, og et niveau på ca. 440 mia. i det kvartal. Herefter ses endnu en streng vækst, hvor det globale maksimum ender på omkring 540 mia. kroner i sidste kvartal af 2019. I de første to kvartaler ses et fald.</w:t>
      </w:r>
    </w:p>
    <w:p w:rsidR="003570C4" w:rsidRDefault="00B97050" w:rsidP="00E739EA">
      <w:pPr>
        <w:spacing w:line="360" w:lineRule="auto"/>
        <w:rPr>
          <w:rFonts w:ascii="Calibri" w:eastAsia="Times New Roman" w:hAnsi="Calibri" w:cs="Times New Roman"/>
          <w:color w:val="000000"/>
          <w:sz w:val="22"/>
          <w:szCs w:val="22"/>
          <w:lang w:val="da-DK" w:eastAsia="en-GB"/>
        </w:rPr>
      </w:pPr>
      <w:r>
        <w:rPr>
          <w:noProof/>
        </w:rPr>
        <w:drawing>
          <wp:anchor distT="0" distB="0" distL="114300" distR="114300" simplePos="0" relativeHeight="251658240" behindDoc="0" locked="0" layoutInCell="1" allowOverlap="1" wp14:anchorId="5018E62A">
            <wp:simplePos x="914400" y="6565900"/>
            <wp:positionH relativeFrom="column">
              <wp:align>left</wp:align>
            </wp:positionH>
            <wp:positionV relativeFrom="paragraph">
              <wp:align>top</wp:align>
            </wp:positionV>
            <wp:extent cx="5731510" cy="2743200"/>
            <wp:effectExtent l="0" t="0" r="8890" b="12700"/>
            <wp:wrapSquare wrapText="bothSides"/>
            <wp:docPr id="6" name="Chart 6">
              <a:extLst xmlns:a="http://schemas.openxmlformats.org/drawingml/2006/main">
                <a:ext uri="{FF2B5EF4-FFF2-40B4-BE49-F238E27FC236}">
                  <a16:creationId xmlns:a16="http://schemas.microsoft.com/office/drawing/2014/main" id="{2852110E-076A-7C48-958C-BA009A3EA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656A81">
        <w:rPr>
          <w:rFonts w:ascii="Calibri" w:eastAsia="Times New Roman" w:hAnsi="Calibri" w:cs="Times New Roman"/>
          <w:color w:val="000000"/>
          <w:sz w:val="22"/>
          <w:szCs w:val="22"/>
          <w:lang w:val="da-DK" w:eastAsia="en-GB"/>
        </w:rPr>
        <w:br w:type="textWrapping" w:clear="all"/>
        <w:t xml:space="preserve">Som tidligere nævnt, er der også en tendenslinje figur 2. Figur 3 viser afvigelsen fra denne tendenslinje. Dette vil vi gerne have, da vi kan udlede vendepunkter, og finde ud af, hvornår </w:t>
      </w:r>
      <w:r w:rsidR="00656A81">
        <w:rPr>
          <w:rFonts w:ascii="Calibri" w:eastAsia="Times New Roman" w:hAnsi="Calibri" w:cs="Times New Roman"/>
          <w:color w:val="000000"/>
          <w:sz w:val="22"/>
          <w:szCs w:val="22"/>
          <w:lang w:val="da-DK" w:eastAsia="en-GB"/>
        </w:rPr>
        <w:lastRenderedPageBreak/>
        <w:t xml:space="preserve">bruttonationalproduktet vokser hurtigere end tendensen, og hvornår det vokser langsommere. Vendepunkterne er lagt ind </w:t>
      </w:r>
      <w:r w:rsidR="00041040">
        <w:rPr>
          <w:rFonts w:ascii="Calibri" w:eastAsia="Times New Roman" w:hAnsi="Calibri" w:cs="Times New Roman"/>
          <w:color w:val="000000"/>
          <w:sz w:val="22"/>
          <w:szCs w:val="22"/>
          <w:lang w:val="da-DK" w:eastAsia="en-GB"/>
        </w:rPr>
        <w:t>ved</w:t>
      </w:r>
      <w:r w:rsidR="00656A81">
        <w:rPr>
          <w:rFonts w:ascii="Calibri" w:eastAsia="Times New Roman" w:hAnsi="Calibri" w:cs="Times New Roman"/>
          <w:color w:val="000000"/>
          <w:sz w:val="22"/>
          <w:szCs w:val="22"/>
          <w:lang w:val="da-DK" w:eastAsia="en-GB"/>
        </w:rPr>
        <w:t xml:space="preserve"> de røde cirkler</w:t>
      </w:r>
      <w:r w:rsidR="003570C4">
        <w:rPr>
          <w:rFonts w:ascii="Calibri" w:eastAsia="Times New Roman" w:hAnsi="Calibri" w:cs="Times New Roman"/>
          <w:color w:val="000000"/>
          <w:sz w:val="22"/>
          <w:szCs w:val="22"/>
          <w:lang w:val="da-DK" w:eastAsia="en-GB"/>
        </w:rPr>
        <w:t xml:space="preserve">. Det kan ses, at BNP vokser langsommere end tendenslinjen fra fjerde kvartal i 2001 til og med første kvartal i 2004. Her ligger vendepunktet i første kvartal i 2003. Efter 2004 er der en streng vækst, som finder et niveau i midten af 2006, men i starten af 2008, falder vækstens hastighed, og BNP’et ender med negativ vækst, før der ses en forbedring i midten af 2009. Herfra lægger væksten under tendenslinjen på et mageligt niveau. Dog sker der en ændring i slutningen af 2013, hvor der sker en græl stigning i væksten, og passerer tendenslinjen i starten af 2016. Denne vækst fortsætter indtil starten af 2020. </w:t>
      </w:r>
    </w:p>
    <w:p w:rsidR="003570C4" w:rsidRDefault="003570C4" w:rsidP="00E739EA">
      <w:pPr>
        <w:spacing w:line="360" w:lineRule="auto"/>
        <w:rPr>
          <w:rFonts w:ascii="Calibri" w:eastAsia="Times New Roman" w:hAnsi="Calibri" w:cs="Times New Roman"/>
          <w:color w:val="000000"/>
          <w:sz w:val="22"/>
          <w:szCs w:val="22"/>
          <w:lang w:val="da-DK" w:eastAsia="en-GB"/>
        </w:rPr>
      </w:pPr>
    </w:p>
    <w:p w:rsidR="00B97050" w:rsidRDefault="00C714A9"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I denne opgave har vi beskæftiget os med udviklingen og beskrevet den. Men hvorfor er udviklingen som den er. To</w:t>
      </w:r>
      <w:r w:rsidR="00D067A6">
        <w:rPr>
          <w:rFonts w:ascii="Calibri" w:eastAsia="Times New Roman" w:hAnsi="Calibri" w:cs="Times New Roman"/>
          <w:color w:val="000000"/>
          <w:sz w:val="22"/>
          <w:szCs w:val="22"/>
          <w:lang w:val="da-DK" w:eastAsia="en-GB"/>
        </w:rPr>
        <w:t xml:space="preserve"> kriser som vi har været igennem i de seneste tyve år er teknologikrisen og finanskrisen. Teknologikrisen var markedet for ny teknologi, der faldt sammen. Dog fandt markedet hurtigt tilbage til et positivt niveau. Den helt store forklaring til alt ondt i vores levetid er dereguleringen af det amerikanske aktie- og lånemarked. </w:t>
      </w:r>
      <w:r w:rsidR="00FF25ED">
        <w:rPr>
          <w:rFonts w:ascii="Calibri" w:eastAsia="Times New Roman" w:hAnsi="Calibri" w:cs="Times New Roman"/>
          <w:color w:val="000000"/>
          <w:sz w:val="22"/>
          <w:szCs w:val="22"/>
          <w:lang w:val="da-DK" w:eastAsia="en-GB"/>
        </w:rPr>
        <w:t xml:space="preserve">Usikre lån, der var profitable, så længe verden var i vækst blev solgt, handlet og spekulerede i. Boligpriserne steg til på daværende tidspunkt uhørte højder, men sæbeboblen blev for stor og sprang. Dette skabte usikkerheder mellem hver mand og kvinde. </w:t>
      </w:r>
      <w:r w:rsidR="00085697">
        <w:rPr>
          <w:rFonts w:ascii="Calibri" w:eastAsia="Times New Roman" w:hAnsi="Calibri" w:cs="Times New Roman"/>
          <w:color w:val="000000"/>
          <w:sz w:val="22"/>
          <w:szCs w:val="22"/>
          <w:lang w:val="da-DK" w:eastAsia="en-GB"/>
        </w:rPr>
        <w:t xml:space="preserve">Usikkerhed er dårligt for økonomien. Både på privat- og virksomhedsniveau. Forbrugeren turde ikke låne til bolig el. investeringer. Finansielle intuitioner turde ikke låne penge ud til verdens virksomheder, hvilket lod domino brikker falde. Dette ses blandt andet tydeligt i det store fald i brutto investeringer i 2009. De faldt med -22% i 2009. </w:t>
      </w:r>
    </w:p>
    <w:p w:rsidR="001F48D7" w:rsidRDefault="001F48D7"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 xml:space="preserve">     I tiden op til steg specielt importen, eksporten og bruttoinvesteringer. Investeringerne kan forklares ved høj vækst, hvilket giver gode udsigter. Men importen og eksporten voksede meget i samme periode. </w:t>
      </w:r>
      <w:r w:rsidR="00F83A40">
        <w:rPr>
          <w:rFonts w:ascii="Calibri" w:eastAsia="Times New Roman" w:hAnsi="Calibri" w:cs="Times New Roman"/>
          <w:color w:val="000000"/>
          <w:sz w:val="22"/>
          <w:szCs w:val="22"/>
          <w:lang w:val="da-DK" w:eastAsia="en-GB"/>
        </w:rPr>
        <w:t>Importen kan forklares ved høj indenlandsk efterspørgsel. Forbrugeren havde kapital, var ikke bange for at spendere, hvilket kan ses i væksten af privatforbruget. Indenlandsk efterspørgslen var høj, og dette reflektere</w:t>
      </w:r>
      <w:r w:rsidR="009D0A50">
        <w:rPr>
          <w:rFonts w:ascii="Calibri" w:eastAsia="Times New Roman" w:hAnsi="Calibri" w:cs="Times New Roman"/>
          <w:color w:val="000000"/>
          <w:sz w:val="22"/>
          <w:szCs w:val="22"/>
          <w:lang w:val="da-DK" w:eastAsia="en-GB"/>
        </w:rPr>
        <w:t>s i</w:t>
      </w:r>
      <w:r w:rsidR="00F83A40">
        <w:rPr>
          <w:rFonts w:ascii="Calibri" w:eastAsia="Times New Roman" w:hAnsi="Calibri" w:cs="Times New Roman"/>
          <w:color w:val="000000"/>
          <w:sz w:val="22"/>
          <w:szCs w:val="22"/>
          <w:lang w:val="da-DK" w:eastAsia="en-GB"/>
        </w:rPr>
        <w:t xml:space="preserve"> importen.</w:t>
      </w:r>
      <w:r w:rsidR="009D0A50">
        <w:rPr>
          <w:rFonts w:ascii="Calibri" w:eastAsia="Times New Roman" w:hAnsi="Calibri" w:cs="Times New Roman"/>
          <w:color w:val="000000"/>
          <w:sz w:val="22"/>
          <w:szCs w:val="22"/>
          <w:lang w:val="da-DK" w:eastAsia="en-GB"/>
        </w:rPr>
        <w:t xml:space="preserve"> Både danske forbruger og danske virksomheder </w:t>
      </w:r>
      <w:r w:rsidR="00F72E60">
        <w:rPr>
          <w:rFonts w:ascii="Calibri" w:eastAsia="Times New Roman" w:hAnsi="Calibri" w:cs="Times New Roman"/>
          <w:color w:val="000000"/>
          <w:sz w:val="22"/>
          <w:szCs w:val="22"/>
          <w:lang w:val="da-DK" w:eastAsia="en-GB"/>
        </w:rPr>
        <w:t xml:space="preserve">efterspurgte varer. </w:t>
      </w:r>
    </w:p>
    <w:p w:rsidR="00E667BF" w:rsidRDefault="00E667BF"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 xml:space="preserve">     Den høje vækst vil formentlig også have presset lønningerne opad. Dette er positivt, når det går godt og virksomhederne vækster, men høje lønninger i dårlige tider er sværere at betale. Uden at vide for meget om lønningerne, sås det at eksporten også steg. Dette tyder også på stor udenlandsk efterspørgsel på danske varer. Samtidig kan et tyde på den danske konkurrenceevne var høj. </w:t>
      </w:r>
    </w:p>
    <w:p w:rsidR="00E667BF" w:rsidRDefault="00E667BF" w:rsidP="00E739EA">
      <w:pPr>
        <w:spacing w:line="360" w:lineRule="auto"/>
        <w:rPr>
          <w:rFonts w:ascii="Calibri" w:eastAsia="Times New Roman" w:hAnsi="Calibri" w:cs="Times New Roman"/>
          <w:color w:val="000000"/>
          <w:sz w:val="22"/>
          <w:szCs w:val="22"/>
          <w:lang w:val="da-DK" w:eastAsia="en-GB"/>
        </w:rPr>
      </w:pPr>
    </w:p>
    <w:p w:rsidR="00E667BF" w:rsidRDefault="00E667BF"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 xml:space="preserve">Efter 2009 tog usikkerheden over, hvilket reflekteres i de minimale vækstrater. Men siden 2013 har alle delkomponenter vokset stille og roligt, dog uden de store udsving. Formentlig med finanskrisen i baghovedet.  </w:t>
      </w:r>
    </w:p>
    <w:p w:rsidR="00B97050" w:rsidRPr="007B0613" w:rsidRDefault="00B97050" w:rsidP="00E739EA">
      <w:pPr>
        <w:spacing w:line="360" w:lineRule="auto"/>
        <w:rPr>
          <w:rFonts w:ascii="Calibri" w:eastAsia="Times New Roman" w:hAnsi="Calibri" w:cs="Times New Roman"/>
          <w:color w:val="000000"/>
          <w:sz w:val="22"/>
          <w:szCs w:val="22"/>
          <w:lang w:val="da-DK" w:eastAsia="en-GB"/>
        </w:rPr>
      </w:pPr>
    </w:p>
    <w:p w:rsidR="00EF1B75" w:rsidRDefault="00EF07F8"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Bilag</w:t>
      </w:r>
    </w:p>
    <w:p w:rsidR="00EF07F8" w:rsidRDefault="00EF07F8" w:rsidP="00E739EA">
      <w:pPr>
        <w:spacing w:line="360" w:lineRule="auto"/>
        <w:rPr>
          <w:rFonts w:ascii="Calibri" w:eastAsia="Times New Roman" w:hAnsi="Calibri" w:cs="Times New Roman"/>
          <w:color w:val="000000"/>
          <w:sz w:val="22"/>
          <w:szCs w:val="22"/>
          <w:lang w:val="da-DK" w:eastAsia="en-GB"/>
        </w:rPr>
      </w:pPr>
      <w:r>
        <w:rPr>
          <w:rFonts w:ascii="Calibri" w:eastAsia="Times New Roman" w:hAnsi="Calibri" w:cs="Times New Roman"/>
          <w:color w:val="000000"/>
          <w:sz w:val="22"/>
          <w:szCs w:val="22"/>
          <w:lang w:val="da-DK" w:eastAsia="en-GB"/>
        </w:rPr>
        <w:t>NKN1</w:t>
      </w:r>
      <w:r w:rsidR="00D3421E">
        <w:rPr>
          <w:rFonts w:ascii="Calibri" w:eastAsia="Times New Roman" w:hAnsi="Calibri" w:cs="Times New Roman"/>
          <w:color w:val="000000"/>
          <w:sz w:val="22"/>
          <w:szCs w:val="22"/>
          <w:lang w:val="da-DK" w:eastAsia="en-GB"/>
        </w:rPr>
        <w:t xml:space="preserve"> fra statistikbanken.dk</w:t>
      </w:r>
      <w:r>
        <w:rPr>
          <w:rFonts w:ascii="Calibri" w:eastAsia="Times New Roman" w:hAnsi="Calibri" w:cs="Times New Roman"/>
          <w:color w:val="000000"/>
          <w:sz w:val="22"/>
          <w:szCs w:val="22"/>
          <w:lang w:val="da-DK" w:eastAsia="en-GB"/>
        </w:rPr>
        <w:t xml:space="preserve"> og egne beregninger. </w:t>
      </w:r>
    </w:p>
    <w:p w:rsidR="00EF07F8" w:rsidRDefault="00EF07F8" w:rsidP="00E739EA">
      <w:pPr>
        <w:spacing w:line="360" w:lineRule="auto"/>
        <w:rPr>
          <w:rFonts w:ascii="Calibri" w:eastAsia="Times New Roman" w:hAnsi="Calibri" w:cs="Times New Roman"/>
          <w:color w:val="000000"/>
          <w:sz w:val="22"/>
          <w:szCs w:val="22"/>
          <w:lang w:val="da-DK" w:eastAsia="en-GB"/>
        </w:rPr>
      </w:pPr>
    </w:p>
    <w:tbl>
      <w:tblPr>
        <w:tblW w:w="7183" w:type="dxa"/>
        <w:tblLook w:val="04A0" w:firstRow="1" w:lastRow="0" w:firstColumn="1" w:lastColumn="0" w:noHBand="0" w:noVBand="1"/>
      </w:tblPr>
      <w:tblGrid>
        <w:gridCol w:w="1394"/>
        <w:gridCol w:w="1136"/>
        <w:gridCol w:w="830"/>
        <w:gridCol w:w="731"/>
        <w:gridCol w:w="1053"/>
        <w:gridCol w:w="1053"/>
        <w:gridCol w:w="1053"/>
      </w:tblGrid>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lang w:val="da-DK" w:eastAsia="en-GB"/>
              </w:rPr>
            </w:pPr>
          </w:p>
        </w:tc>
        <w:tc>
          <w:tcPr>
            <w:tcW w:w="1136"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Kvartal</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p>
        </w:tc>
        <w:tc>
          <w:tcPr>
            <w:tcW w:w="731" w:type="dxa"/>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20"/>
                <w:szCs w:val="20"/>
                <w:lang w:eastAsia="en-GB"/>
              </w:rPr>
            </w:pPr>
          </w:p>
        </w:tc>
        <w:tc>
          <w:tcPr>
            <w:tcW w:w="1033" w:type="dxa"/>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20"/>
                <w:szCs w:val="20"/>
                <w:lang w:eastAsia="en-GB"/>
              </w:rPr>
            </w:pPr>
          </w:p>
        </w:tc>
        <w:tc>
          <w:tcPr>
            <w:tcW w:w="1033" w:type="dxa"/>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20"/>
                <w:szCs w:val="20"/>
                <w:lang w:eastAsia="en-GB"/>
              </w:rPr>
            </w:pPr>
          </w:p>
        </w:tc>
        <w:tc>
          <w:tcPr>
            <w:tcW w:w="1033" w:type="dxa"/>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20"/>
                <w:szCs w:val="20"/>
                <w:lang w:eastAsia="en-GB"/>
              </w:rPr>
            </w:pP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1999K4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410.2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414.4375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sz w:val="22"/>
                <w:szCs w:val="22"/>
                <w:lang w:eastAsia="en-GB"/>
              </w:rPr>
            </w:pP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2000K1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414.2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415.558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sz w:val="22"/>
                <w:szCs w:val="22"/>
                <w:lang w:eastAsia="en-GB"/>
              </w:rPr>
            </w:pP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2000K2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418.9</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417.48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416.6815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0.191636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2000K3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420</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419.34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417.808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0.366664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0.175028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2000K4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424.1</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420.82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418.9377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0.449314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0.08265</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2001K1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419.5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422.12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420.0703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0.487939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0.038625</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2001K2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421.6</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423.02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421.206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0.430659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-0.05728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2001K3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425.4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423.08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422.3448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0.174069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-0.25659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2001K4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424.04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423.4867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0.130653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-0.04342</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2002K1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424.88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10</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424.6317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0.058484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-0.07217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2002K2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424.3</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424.68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425.7797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-0.25828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-0.31677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2002K3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425.8</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425.12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426.9309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-0.42416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-0.16588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2002K4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424.78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428.0851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-0.77208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-0.34792</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2003K1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426.7</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424.74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429.2425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-1.04895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-0.27687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2003K2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422.7</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425.98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430.4031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-1.02765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0.021295</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2003K3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424.1</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427.92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431.5667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-0.84499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0.18266</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2003K4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429.92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432.7335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-0.65017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0.194821</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2004K1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434.1</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432.92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433.9035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-0.22666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0.423515</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2004K2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436.7</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436.6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435.0766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0.350145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0.576803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2004K3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437.7</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438.38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436.2529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0.487585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0.13744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2004K4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442.5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441.46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437.4324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0.920743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0.433158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2005K1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440.9</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444.12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438.615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1.255079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0.334336</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2005K2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449.5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446.88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439.8009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1.609616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0.354537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2005K3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450</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449.82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440.99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2.002322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0.392706</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2005K4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451.5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455.8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442.1822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3.079671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1.077349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2006K1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457.2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459.44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443.3777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3.622701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0.543031</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2006K2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470.8</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462.72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444.5765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4.081078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0.458377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2006K3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467.7</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466.02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445.7785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4.540716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0.459638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2006K4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466.4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467.76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446.9837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4.648113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0.107397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2007K1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468</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467.64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30</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448.1922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4.33917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-0.30894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2007K2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465.9</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469.1</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449.4039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4.382709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0.043539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2007K3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470.2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470.78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450.619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4.474076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0.091367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2007K4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471.26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451.8373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4.29861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-0.17547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2008K1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474.8</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471.6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453.0589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4.092429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-0.20618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2008K2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470.4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468.88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454.2838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3.213014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-0.87942</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2008K3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467.6</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463.9</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455.512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1.841439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-1.37157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2008K4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456.6</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457.22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456.7436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0.104311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-1.73713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2009K1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450.1</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451.72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457.9784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-1.36654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-1.47085</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2009K2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441.4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446.86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459.2167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-2.69081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-1.32428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2009K3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442.9</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444.96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40</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460.4582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-3.36582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-0.67501</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2009K4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443.3</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444.98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461.7031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-3.62205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-0.25623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2010K1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447.1</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448.16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462.9514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-3.19503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0.427028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lastRenderedPageBreak/>
              <w:t>2010K2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450.2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450.84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464.2031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-2.87871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0.316313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2010K3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457.3</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453.64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465.4581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-2.53903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0.339684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2010K4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456.3</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456.6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466.7165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-2.1676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0.371428</w:t>
            </w:r>
          </w:p>
        </w:tc>
      </w:tr>
      <w:tr w:rsidR="00EF07F8" w:rsidRPr="00EF07F8" w:rsidTr="00EF07F8">
        <w:trPr>
          <w:trHeight w:val="319"/>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2011K1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457.3</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457.78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467.9784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-2.17924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-0.01164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2011K2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461.9</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458.3</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469.2436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-2.33219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-0.15294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2011K3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456.1</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458.94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470.5123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-2.45951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-0.12733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2011K4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459.9</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459.46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471.7844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-2.6123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-0.15278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2012K1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459.5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459.14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473.0599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-2.94253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-0.33024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2012K2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459.9</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459.84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474.3389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-3.05666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-0.11413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2012K3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460.3</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460.3</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475.6214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-3.22134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-0.16468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2012K4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459.6</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460.9</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476.9073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-3.35648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-0.13514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2013K1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462.2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478.1967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-3.38703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-0.03055</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2013K2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462.5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463.22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479.4896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-3.3931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-0.00607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2013K3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465.4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464.8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480.7859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-3.32496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0.068142</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2013K4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466.4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465.8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482.0858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-3.3782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-0.05324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2014K1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467.5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468.3</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483.3892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-3.12154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0.256655</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2014K2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467.2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470.56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484.6961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-2.91649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0.205053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2014K3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475</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473.28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60</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486.0066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-2.6186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0.297891</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2014K4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476.7</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476.22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487.3205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-2.27787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0.340724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2015K1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480</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479.52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488.6381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-1.86602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0.411853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2015K2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482.2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481.48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489.9592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-1.73059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0.135429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2015K3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483.7</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484.22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491.2839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-1.43784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0.292753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2015K4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484.8</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487.62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492.6121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-1.0134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0.424439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2016K1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490.4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491.42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493.944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-0.51099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0.502415</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2016K2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497</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495.64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495.2794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0.072801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0.583786</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2016K3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501.2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500.3</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496.6185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0.741315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0.668514</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2016K4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504.8</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504.98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69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497.9612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1.409513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0.668198</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2017K1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508.1</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507.96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70</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499.3075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1.732903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0.32339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2017K2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513.8</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510.88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500.6574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2.041828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0.308925</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2017K3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511.9</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513.8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502.011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2.348347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0.306519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2017K4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515.8</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516.38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503.3683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2.584926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0.236579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2018K1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519.4</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518.54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504.7292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2.736273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0.151347</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2018K2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521</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522.02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506.0938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3.146878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0.410606</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2018K3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524.6</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525.58</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507.4621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3.570288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0.423409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2018K4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529.3</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529.36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508.8341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4.0339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0.463612</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2019K1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533.6</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533.16</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510.2098</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4.498179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0.464279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2019K2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538.3</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536.64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79</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511.5893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4.896647</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0.398469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2019K3</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540</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537.44</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80</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512.9724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4.769762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-0.12689</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2019K4</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542</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530.12</w:t>
            </w: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81</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514.3593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3.064136</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-1.70563</w:t>
            </w: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2020K1</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533.3</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82</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515.75</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sz w:val="22"/>
                <w:szCs w:val="22"/>
                <w:lang w:eastAsia="en-GB"/>
              </w:rPr>
            </w:pPr>
          </w:p>
        </w:tc>
      </w:tr>
      <w:tr w:rsidR="00EF07F8" w:rsidRPr="00EF07F8" w:rsidTr="00EF07F8">
        <w:trPr>
          <w:trHeight w:val="281"/>
        </w:trPr>
        <w:tc>
          <w:tcPr>
            <w:tcW w:w="1394"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2020K2</w:t>
            </w:r>
          </w:p>
        </w:tc>
        <w:tc>
          <w:tcPr>
            <w:tcW w:w="1136"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497</w:t>
            </w:r>
          </w:p>
        </w:tc>
        <w:tc>
          <w:tcPr>
            <w:tcW w:w="82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p>
        </w:tc>
        <w:tc>
          <w:tcPr>
            <w:tcW w:w="731"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83</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r w:rsidRPr="00EF07F8">
              <w:rPr>
                <w:rFonts w:ascii="Calibri" w:eastAsia="Times New Roman" w:hAnsi="Calibri" w:cs="Times New Roman"/>
                <w:color w:val="000000"/>
                <w:sz w:val="22"/>
                <w:szCs w:val="22"/>
                <w:lang w:eastAsia="en-GB"/>
              </w:rPr>
              <w:t>517.1444</w:t>
            </w:r>
          </w:p>
        </w:tc>
        <w:tc>
          <w:tcPr>
            <w:tcW w:w="1033" w:type="dxa"/>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22"/>
                <w:szCs w:val="22"/>
                <w:lang w:eastAsia="en-GB"/>
              </w:rPr>
            </w:pPr>
          </w:p>
        </w:tc>
        <w:tc>
          <w:tcPr>
            <w:tcW w:w="1033" w:type="dxa"/>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sz w:val="22"/>
                <w:szCs w:val="22"/>
                <w:lang w:eastAsia="en-GB"/>
              </w:rPr>
            </w:pPr>
          </w:p>
        </w:tc>
      </w:tr>
    </w:tbl>
    <w:p w:rsidR="00EF07F8" w:rsidRPr="00EF07F8" w:rsidRDefault="00EF07F8" w:rsidP="00EF07F8">
      <w:pPr>
        <w:rPr>
          <w:rFonts w:ascii="Calibri" w:eastAsia="Times New Roman" w:hAnsi="Calibri" w:cs="Times New Roman"/>
          <w:color w:val="000000"/>
          <w:sz w:val="22"/>
          <w:szCs w:val="22"/>
          <w:lang w:val="da-DK" w:eastAsia="en-GB"/>
        </w:rPr>
      </w:pPr>
    </w:p>
    <w:p w:rsidR="0026601E" w:rsidRPr="00EF07F8" w:rsidRDefault="0026601E" w:rsidP="00EF07F8">
      <w:pPr>
        <w:rPr>
          <w:rFonts w:ascii="Calibri" w:eastAsia="Times New Roman" w:hAnsi="Calibri" w:cs="Times New Roman"/>
          <w:color w:val="000000"/>
          <w:sz w:val="22"/>
          <w:szCs w:val="22"/>
          <w:lang w:val="da-DK" w:eastAsia="en-GB"/>
        </w:rPr>
      </w:pPr>
    </w:p>
    <w:p w:rsidR="0026601E" w:rsidRPr="00EF07F8" w:rsidRDefault="0026601E" w:rsidP="00EF07F8">
      <w:pPr>
        <w:rPr>
          <w:rFonts w:ascii="Calibri" w:eastAsia="Times New Roman" w:hAnsi="Calibri" w:cs="Times New Roman"/>
          <w:color w:val="000000"/>
          <w:sz w:val="22"/>
          <w:szCs w:val="22"/>
          <w:lang w:val="da-DK" w:eastAsia="en-GB"/>
        </w:rPr>
      </w:pPr>
    </w:p>
    <w:p w:rsidR="00567253" w:rsidRDefault="00567253" w:rsidP="00F032CA">
      <w:pPr>
        <w:spacing w:line="360" w:lineRule="auto"/>
        <w:rPr>
          <w:rFonts w:ascii="Calibri" w:eastAsiaTheme="minorEastAsia" w:hAnsi="Calibri" w:cs="Calibri"/>
          <w:sz w:val="22"/>
          <w:szCs w:val="22"/>
          <w:lang w:val="da-DK"/>
        </w:rPr>
      </w:pPr>
    </w:p>
    <w:p w:rsidR="00EF07F8" w:rsidRDefault="00EF07F8" w:rsidP="00F032CA">
      <w:pPr>
        <w:spacing w:line="360" w:lineRule="auto"/>
        <w:rPr>
          <w:rFonts w:ascii="Calibri" w:eastAsiaTheme="minorEastAsia" w:hAnsi="Calibri" w:cs="Calibri"/>
          <w:sz w:val="22"/>
          <w:szCs w:val="22"/>
          <w:lang w:val="da-DK"/>
        </w:rPr>
      </w:pPr>
    </w:p>
    <w:p w:rsidR="00EF07F8" w:rsidRDefault="00EF07F8" w:rsidP="00F032CA">
      <w:pPr>
        <w:spacing w:line="360" w:lineRule="auto"/>
        <w:rPr>
          <w:rFonts w:ascii="Calibri" w:eastAsiaTheme="minorEastAsia" w:hAnsi="Calibri" w:cs="Calibri"/>
          <w:sz w:val="22"/>
          <w:szCs w:val="22"/>
          <w:lang w:val="da-DK"/>
        </w:rPr>
      </w:pPr>
    </w:p>
    <w:p w:rsidR="00EF07F8" w:rsidRDefault="00EF07F8" w:rsidP="00F032CA">
      <w:pPr>
        <w:spacing w:line="360" w:lineRule="auto"/>
        <w:rPr>
          <w:rFonts w:ascii="Calibri" w:eastAsiaTheme="minorEastAsia" w:hAnsi="Calibri" w:cs="Calibri"/>
          <w:sz w:val="22"/>
          <w:szCs w:val="22"/>
          <w:lang w:val="da-DK"/>
        </w:rPr>
      </w:pPr>
    </w:p>
    <w:p w:rsidR="00EF07F8" w:rsidRDefault="00EF07F8" w:rsidP="00F032CA">
      <w:pPr>
        <w:spacing w:line="360" w:lineRule="auto"/>
        <w:rPr>
          <w:rFonts w:ascii="Calibri" w:eastAsiaTheme="minorEastAsia" w:hAnsi="Calibri" w:cs="Calibri"/>
          <w:sz w:val="22"/>
          <w:szCs w:val="22"/>
          <w:lang w:val="da-DK"/>
        </w:rPr>
      </w:pPr>
      <w:r>
        <w:rPr>
          <w:rFonts w:ascii="Calibri" w:eastAsiaTheme="minorEastAsia" w:hAnsi="Calibri" w:cs="Calibri"/>
          <w:sz w:val="22"/>
          <w:szCs w:val="22"/>
          <w:lang w:val="da-DK"/>
        </w:rPr>
        <w:lastRenderedPageBreak/>
        <w:t>NAN1</w:t>
      </w:r>
      <w:r w:rsidR="00D3421E">
        <w:rPr>
          <w:rFonts w:ascii="Calibri" w:eastAsiaTheme="minorEastAsia" w:hAnsi="Calibri" w:cs="Calibri"/>
          <w:sz w:val="22"/>
          <w:szCs w:val="22"/>
          <w:lang w:val="da-DK"/>
        </w:rPr>
        <w:t xml:space="preserve"> fra </w:t>
      </w:r>
      <w:r w:rsidR="00D3421E">
        <w:rPr>
          <w:rFonts w:ascii="Calibri" w:eastAsia="Times New Roman" w:hAnsi="Calibri" w:cs="Times New Roman"/>
          <w:color w:val="000000"/>
          <w:sz w:val="22"/>
          <w:szCs w:val="22"/>
          <w:lang w:val="da-DK" w:eastAsia="en-GB"/>
        </w:rPr>
        <w:t>statistikbanken.dk</w:t>
      </w:r>
      <w:r>
        <w:rPr>
          <w:rFonts w:ascii="Calibri" w:eastAsiaTheme="minorEastAsia" w:hAnsi="Calibri" w:cs="Calibri"/>
          <w:sz w:val="22"/>
          <w:szCs w:val="22"/>
          <w:lang w:val="da-DK"/>
        </w:rPr>
        <w:t xml:space="preserve"> og egene beregninger </w:t>
      </w:r>
    </w:p>
    <w:tbl>
      <w:tblPr>
        <w:tblpPr w:leftFromText="180" w:rightFromText="180" w:horzAnchor="page" w:tblpX="1" w:tblpY="820"/>
        <w:tblW w:w="5000" w:type="pct"/>
        <w:tblLook w:val="04A0" w:firstRow="1" w:lastRow="0" w:firstColumn="1" w:lastColumn="0" w:noHBand="0" w:noVBand="1"/>
      </w:tblPr>
      <w:tblGrid>
        <w:gridCol w:w="1075"/>
        <w:gridCol w:w="762"/>
        <w:gridCol w:w="354"/>
        <w:gridCol w:w="384"/>
        <w:gridCol w:w="384"/>
        <w:gridCol w:w="354"/>
        <w:gridCol w:w="366"/>
        <w:gridCol w:w="384"/>
        <w:gridCol w:w="354"/>
        <w:gridCol w:w="384"/>
        <w:gridCol w:w="385"/>
        <w:gridCol w:w="384"/>
        <w:gridCol w:w="384"/>
        <w:gridCol w:w="384"/>
        <w:gridCol w:w="384"/>
        <w:gridCol w:w="384"/>
        <w:gridCol w:w="384"/>
        <w:gridCol w:w="384"/>
        <w:gridCol w:w="384"/>
        <w:gridCol w:w="384"/>
        <w:gridCol w:w="384"/>
      </w:tblGrid>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AD31A0" w:rsidRDefault="00EF07F8" w:rsidP="00EF07F8">
            <w:pPr>
              <w:rPr>
                <w:rFonts w:ascii="Times New Roman" w:eastAsia="Times New Roman" w:hAnsi="Times New Roman" w:cs="Times New Roman"/>
                <w:sz w:val="16"/>
                <w:szCs w:val="16"/>
                <w:lang w:val="da-DK"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2000</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2003</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2004</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2006</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2010</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2019</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B.1*g Bruttonationalprodukt, BNP</w:t>
            </w:r>
          </w:p>
        </w:tc>
        <w:tc>
          <w:tcPr>
            <w:tcW w:w="422"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1677.2</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1691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1698.9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1705.5</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1751</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1792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1862.1</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1879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1869.4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1777.7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1810.9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1835.1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1839.3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1856.5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1886.5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1930.7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1993.4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2049.6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2094.2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2153.9</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val="da-DK" w:eastAsia="en-GB"/>
              </w:rPr>
            </w:pPr>
            <w:r w:rsidRPr="00EF07F8">
              <w:rPr>
                <w:rFonts w:ascii="Calibri" w:eastAsia="Times New Roman" w:hAnsi="Calibri" w:cs="Times New Roman"/>
                <w:b/>
                <w:bCs/>
                <w:color w:val="000000"/>
                <w:sz w:val="16"/>
                <w:szCs w:val="16"/>
                <w:lang w:val="da-DK" w:eastAsia="en-GB"/>
              </w:rPr>
              <w:t>P.7 Import af varer og tjenester</w:t>
            </w:r>
          </w:p>
        </w:tc>
        <w:tc>
          <w:tcPr>
            <w:tcW w:w="422"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548.7</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561.9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597.7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591.6</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633.8</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705.3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803.9</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850.8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891.4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784.9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789.1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847.9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870.9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883.7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918.1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960</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995.1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1036.8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1086.1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1112.6</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val="da-DK" w:eastAsia="en-GB"/>
              </w:rPr>
            </w:pPr>
            <w:r w:rsidRPr="00EF07F8">
              <w:rPr>
                <w:rFonts w:ascii="Calibri" w:eastAsia="Times New Roman" w:hAnsi="Calibri" w:cs="Times New Roman"/>
                <w:b/>
                <w:bCs/>
                <w:color w:val="000000"/>
                <w:sz w:val="16"/>
                <w:szCs w:val="16"/>
                <w:lang w:val="da-DK" w:eastAsia="en-GB"/>
              </w:rPr>
              <w:t>P.6 Eksport af varer og tjenester</w:t>
            </w:r>
          </w:p>
        </w:tc>
        <w:tc>
          <w:tcPr>
            <w:tcW w:w="422"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696.9</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720.3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751.7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742.7</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765.1</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824.2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909.4</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942.6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979.1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888.8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914.9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980.8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992.2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1008.1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1039.7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1076.9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1121.2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1175.1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1213.3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1274.4</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P.31 Privatforbrug</w:t>
            </w:r>
          </w:p>
        </w:tc>
        <w:tc>
          <w:tcPr>
            <w:tcW w:w="422"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752.6</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754.3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765.2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775.4</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811.5</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841.5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866.3</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881.6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885.9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855.5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862.2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864.6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869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871.5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879.4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899.5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921.2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942.3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968.1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981.6</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P.3 Offentlige forbrugsudgifter</w:t>
            </w:r>
          </w:p>
        </w:tc>
        <w:tc>
          <w:tcPr>
            <w:tcW w:w="422"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412.2</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420</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429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430</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436.6</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441.8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453.1</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458.5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473.4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487.8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495.6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492.5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496.2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495.7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505.3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513.8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514.6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519.1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520.7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527.1</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P.5g Bruttoinvesteringer</w:t>
            </w:r>
          </w:p>
        </w:tc>
        <w:tc>
          <w:tcPr>
            <w:tcW w:w="422"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348.2</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343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338.9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336.6</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359.4</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379.2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427.7</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439.1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418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329.3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327.3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345.2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353.1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365.1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380.8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400.7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431.2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449.4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476.3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482.3</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0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0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Times New Roman" w:eastAsia="Times New Roman" w:hAnsi="Times New Roman" w:cs="Times New Roman"/>
                <w:sz w:val="16"/>
                <w:szCs w:val="16"/>
                <w:lang w:eastAsia="en-GB"/>
              </w:rPr>
            </w:pP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2003</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2004</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2006</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2009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2010</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2019</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BNP(Y)</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0.4%</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2.7%</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3.9%</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2.9%</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Import(M)</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6.4%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-1.0%</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7.1%</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11.3%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14.0%</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-11.9%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2.4%</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Eksport(X)</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-1.2%</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3.0%</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10.3%</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-9.2%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5.0%</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Privatforbrug©</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1.3%</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4.7%</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2.9%</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1.4%</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Off. Forbrug(G)</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0.2%</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1.5%</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2.6%</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3.0%</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-0.1%</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0.9%</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1.2%</w:t>
            </w:r>
          </w:p>
        </w:tc>
      </w:tr>
      <w:tr w:rsidR="00EF07F8" w:rsidRPr="00EF07F8" w:rsidTr="00AD31A0">
        <w:trPr>
          <w:trHeight w:val="274"/>
        </w:trPr>
        <w:tc>
          <w:tcPr>
            <w:tcW w:w="5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p>
        </w:tc>
        <w:tc>
          <w:tcPr>
            <w:tcW w:w="422" w:type="pct"/>
            <w:tcBorders>
              <w:top w:val="nil"/>
              <w:left w:val="nil"/>
              <w:bottom w:val="nil"/>
              <w:right w:val="nil"/>
            </w:tcBorders>
            <w:shd w:val="clear" w:color="auto" w:fill="auto"/>
            <w:noWrap/>
            <w:vAlign w:val="bottom"/>
            <w:hideMark/>
          </w:tcPr>
          <w:p w:rsidR="00EF07F8" w:rsidRPr="00EF07F8" w:rsidRDefault="00EF07F8" w:rsidP="00EF07F8">
            <w:pPr>
              <w:rPr>
                <w:rFonts w:ascii="Calibri" w:eastAsia="Times New Roman" w:hAnsi="Calibri" w:cs="Times New Roman"/>
                <w:b/>
                <w:bCs/>
                <w:color w:val="000000"/>
                <w:sz w:val="16"/>
                <w:szCs w:val="16"/>
                <w:lang w:eastAsia="en-GB"/>
              </w:rPr>
            </w:pPr>
            <w:r w:rsidRPr="00EF07F8">
              <w:rPr>
                <w:rFonts w:ascii="Calibri" w:eastAsia="Times New Roman" w:hAnsi="Calibri" w:cs="Times New Roman"/>
                <w:b/>
                <w:bCs/>
                <w:color w:val="000000"/>
                <w:sz w:val="16"/>
                <w:szCs w:val="16"/>
                <w:lang w:eastAsia="en-GB"/>
              </w:rPr>
              <w:t>Bruttoinvesteringer(I)</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-0.7%</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6.8%</w:t>
            </w:r>
          </w:p>
        </w:tc>
        <w:tc>
          <w:tcPr>
            <w:tcW w:w="20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12.8%</w:t>
            </w:r>
          </w:p>
        </w:tc>
        <w:tc>
          <w:tcPr>
            <w:tcW w:w="196"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2.7%</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-4.8%</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-21.2%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-0.6%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5.5%</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2.3%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3.4%</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4.3%</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5.2%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7.6%</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4.2%</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6.0%</w:t>
            </w:r>
          </w:p>
        </w:tc>
        <w:tc>
          <w:tcPr>
            <w:tcW w:w="213" w:type="pct"/>
            <w:tcBorders>
              <w:top w:val="nil"/>
              <w:left w:val="nil"/>
              <w:bottom w:val="nil"/>
              <w:right w:val="nil"/>
            </w:tcBorders>
            <w:shd w:val="clear" w:color="auto" w:fill="auto"/>
            <w:noWrap/>
            <w:vAlign w:val="bottom"/>
            <w:hideMark/>
          </w:tcPr>
          <w:p w:rsidR="00EF07F8" w:rsidRPr="00EF07F8" w:rsidRDefault="00EF07F8" w:rsidP="00EF07F8">
            <w:pPr>
              <w:jc w:val="right"/>
              <w:rPr>
                <w:rFonts w:ascii="Calibri" w:eastAsia="Times New Roman" w:hAnsi="Calibri" w:cs="Times New Roman"/>
                <w:color w:val="000000"/>
                <w:sz w:val="16"/>
                <w:szCs w:val="16"/>
                <w:lang w:eastAsia="en-GB"/>
              </w:rPr>
            </w:pPr>
            <w:r w:rsidRPr="00EF07F8">
              <w:rPr>
                <w:rFonts w:ascii="Calibri" w:eastAsia="Times New Roman" w:hAnsi="Calibri" w:cs="Times New Roman"/>
                <w:color w:val="000000"/>
                <w:sz w:val="16"/>
                <w:szCs w:val="16"/>
                <w:lang w:eastAsia="en-GB"/>
              </w:rPr>
              <w:t>1.3%</w:t>
            </w:r>
          </w:p>
        </w:tc>
      </w:tr>
    </w:tbl>
    <w:p w:rsidR="00EF07F8" w:rsidRPr="003826CA" w:rsidRDefault="00EF07F8" w:rsidP="00F032CA">
      <w:pPr>
        <w:spacing w:line="360" w:lineRule="auto"/>
        <w:rPr>
          <w:rFonts w:ascii="Calibri" w:eastAsiaTheme="minorEastAsia" w:hAnsi="Calibri" w:cs="Calibri"/>
          <w:sz w:val="22"/>
          <w:szCs w:val="22"/>
          <w:lang w:val="da-DK"/>
        </w:rPr>
      </w:pPr>
    </w:p>
    <w:sectPr w:rsidR="00EF07F8" w:rsidRPr="003826CA">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3B34" w:rsidRDefault="007F3B34" w:rsidP="00F032CA">
      <w:r>
        <w:separator/>
      </w:r>
    </w:p>
  </w:endnote>
  <w:endnote w:type="continuationSeparator" w:id="0">
    <w:p w:rsidR="007F3B34" w:rsidRDefault="007F3B34" w:rsidP="00F0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143859"/>
      <w:docPartObj>
        <w:docPartGallery w:val="Page Numbers (Bottom of Page)"/>
        <w:docPartUnique/>
      </w:docPartObj>
    </w:sdtPr>
    <w:sdtEndPr>
      <w:rPr>
        <w:rStyle w:val="PageNumber"/>
      </w:rPr>
    </w:sdtEndPr>
    <w:sdtContent>
      <w:p w:rsidR="00F32EA9" w:rsidRDefault="00F32EA9" w:rsidP="004E14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32EA9" w:rsidRDefault="00F32EA9" w:rsidP="00F32E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386228"/>
      <w:docPartObj>
        <w:docPartGallery w:val="Page Numbers (Bottom of Page)"/>
        <w:docPartUnique/>
      </w:docPartObj>
    </w:sdtPr>
    <w:sdtEndPr>
      <w:rPr>
        <w:rStyle w:val="PageNumber"/>
      </w:rPr>
    </w:sdtEndPr>
    <w:sdtContent>
      <w:p w:rsidR="00F32EA9" w:rsidRDefault="00F32EA9" w:rsidP="004E14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32EA9" w:rsidRDefault="00F32EA9" w:rsidP="00F32E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3B34" w:rsidRDefault="007F3B34" w:rsidP="00F032CA">
      <w:r>
        <w:separator/>
      </w:r>
    </w:p>
  </w:footnote>
  <w:footnote w:type="continuationSeparator" w:id="0">
    <w:p w:rsidR="007F3B34" w:rsidRDefault="007F3B34" w:rsidP="00F032CA">
      <w:r>
        <w:continuationSeparator/>
      </w:r>
    </w:p>
  </w:footnote>
  <w:footnote w:id="1">
    <w:p w:rsidR="00F032CA" w:rsidRPr="00F032CA" w:rsidRDefault="00F032CA">
      <w:pPr>
        <w:pStyle w:val="FootnoteText"/>
        <w:rPr>
          <w:lang w:val="da-DK"/>
        </w:rPr>
      </w:pPr>
      <w:r>
        <w:rPr>
          <w:rStyle w:val="FootnoteReference"/>
        </w:rPr>
        <w:footnoteRef/>
      </w:r>
      <w:r w:rsidRPr="00F032CA">
        <w:rPr>
          <w:lang w:val="da-DK"/>
        </w:rPr>
        <w:t xml:space="preserve"> </w:t>
      </w:r>
      <w:r>
        <w:rPr>
          <w:lang w:val="da-DK"/>
        </w:rPr>
        <w:t xml:space="preserve">Vi har adgang til </w:t>
      </w:r>
      <w:r w:rsidR="00F32EA9">
        <w:rPr>
          <w:lang w:val="da-DK"/>
        </w:rPr>
        <w:t>beregningen</w:t>
      </w:r>
      <w:r>
        <w:rPr>
          <w:lang w:val="da-DK"/>
        </w:rPr>
        <w:t xml:space="preserve">, men er dog i tvivl om den er nødvendig for opgaven. Jeg har derfor udeladt den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2EA9" w:rsidRPr="00F32EA9" w:rsidRDefault="00F32EA9">
    <w:pPr>
      <w:pStyle w:val="Header"/>
      <w:rPr>
        <w:lang w:val="da-DK"/>
      </w:rPr>
    </w:pPr>
    <w:r>
      <w:rPr>
        <w:lang w:val="da-DK"/>
      </w:rPr>
      <w:t>Jeppe Vanderhaegen</w:t>
    </w:r>
    <w:r>
      <w:rPr>
        <w:lang w:val="da-DK"/>
      </w:rPr>
      <w:tab/>
      <w:t xml:space="preserve">Samfundsbeskrivelse </w:t>
    </w:r>
    <w:r>
      <w:rPr>
        <w:lang w:val="da-DK"/>
      </w:rPr>
      <w:tab/>
      <w:t>Københavns Universitet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2E"/>
    <w:rsid w:val="00041040"/>
    <w:rsid w:val="00085697"/>
    <w:rsid w:val="00087CF6"/>
    <w:rsid w:val="000C33A8"/>
    <w:rsid w:val="000F130B"/>
    <w:rsid w:val="00127BF2"/>
    <w:rsid w:val="001F48D7"/>
    <w:rsid w:val="0026601E"/>
    <w:rsid w:val="003570C4"/>
    <w:rsid w:val="003826CA"/>
    <w:rsid w:val="00390EFF"/>
    <w:rsid w:val="003C0A65"/>
    <w:rsid w:val="003F289C"/>
    <w:rsid w:val="004754D2"/>
    <w:rsid w:val="005478AF"/>
    <w:rsid w:val="00567253"/>
    <w:rsid w:val="005D3B15"/>
    <w:rsid w:val="00611520"/>
    <w:rsid w:val="00656A81"/>
    <w:rsid w:val="00677F3A"/>
    <w:rsid w:val="006924D1"/>
    <w:rsid w:val="006A0C95"/>
    <w:rsid w:val="00732C92"/>
    <w:rsid w:val="007A26FA"/>
    <w:rsid w:val="007B0613"/>
    <w:rsid w:val="007F3B34"/>
    <w:rsid w:val="00820E0E"/>
    <w:rsid w:val="009D0A50"/>
    <w:rsid w:val="009D46F3"/>
    <w:rsid w:val="009F4A51"/>
    <w:rsid w:val="00A66FEE"/>
    <w:rsid w:val="00AD31A0"/>
    <w:rsid w:val="00B97050"/>
    <w:rsid w:val="00C22057"/>
    <w:rsid w:val="00C3077F"/>
    <w:rsid w:val="00C50D2E"/>
    <w:rsid w:val="00C714A9"/>
    <w:rsid w:val="00D067A6"/>
    <w:rsid w:val="00D3421E"/>
    <w:rsid w:val="00DF14E7"/>
    <w:rsid w:val="00E11711"/>
    <w:rsid w:val="00E13338"/>
    <w:rsid w:val="00E667BF"/>
    <w:rsid w:val="00E71663"/>
    <w:rsid w:val="00E739EA"/>
    <w:rsid w:val="00E9485B"/>
    <w:rsid w:val="00EF07F8"/>
    <w:rsid w:val="00EF1B75"/>
    <w:rsid w:val="00F032CA"/>
    <w:rsid w:val="00F302C2"/>
    <w:rsid w:val="00F32EA9"/>
    <w:rsid w:val="00F72E60"/>
    <w:rsid w:val="00F83A40"/>
    <w:rsid w:val="00FF2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11C5A-10AD-4F4B-8B02-46D9970C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D2E"/>
    <w:rPr>
      <w:color w:val="808080"/>
    </w:rPr>
  </w:style>
  <w:style w:type="paragraph" w:styleId="FootnoteText">
    <w:name w:val="footnote text"/>
    <w:basedOn w:val="Normal"/>
    <w:link w:val="FootnoteTextChar"/>
    <w:uiPriority w:val="99"/>
    <w:semiHidden/>
    <w:unhideWhenUsed/>
    <w:rsid w:val="00F032CA"/>
    <w:rPr>
      <w:sz w:val="20"/>
      <w:szCs w:val="20"/>
    </w:rPr>
  </w:style>
  <w:style w:type="character" w:customStyle="1" w:styleId="FootnoteTextChar">
    <w:name w:val="Footnote Text Char"/>
    <w:basedOn w:val="DefaultParagraphFont"/>
    <w:link w:val="FootnoteText"/>
    <w:uiPriority w:val="99"/>
    <w:semiHidden/>
    <w:rsid w:val="00F032CA"/>
    <w:rPr>
      <w:sz w:val="20"/>
      <w:szCs w:val="20"/>
    </w:rPr>
  </w:style>
  <w:style w:type="character" w:styleId="FootnoteReference">
    <w:name w:val="footnote reference"/>
    <w:basedOn w:val="DefaultParagraphFont"/>
    <w:uiPriority w:val="99"/>
    <w:semiHidden/>
    <w:unhideWhenUsed/>
    <w:rsid w:val="00F032CA"/>
    <w:rPr>
      <w:vertAlign w:val="superscript"/>
    </w:rPr>
  </w:style>
  <w:style w:type="paragraph" w:styleId="Header">
    <w:name w:val="header"/>
    <w:basedOn w:val="Normal"/>
    <w:link w:val="HeaderChar"/>
    <w:uiPriority w:val="99"/>
    <w:unhideWhenUsed/>
    <w:rsid w:val="00F32EA9"/>
    <w:pPr>
      <w:tabs>
        <w:tab w:val="center" w:pos="4513"/>
        <w:tab w:val="right" w:pos="9026"/>
      </w:tabs>
    </w:pPr>
  </w:style>
  <w:style w:type="character" w:customStyle="1" w:styleId="HeaderChar">
    <w:name w:val="Header Char"/>
    <w:basedOn w:val="DefaultParagraphFont"/>
    <w:link w:val="Header"/>
    <w:uiPriority w:val="99"/>
    <w:rsid w:val="00F32EA9"/>
  </w:style>
  <w:style w:type="paragraph" w:styleId="Footer">
    <w:name w:val="footer"/>
    <w:basedOn w:val="Normal"/>
    <w:link w:val="FooterChar"/>
    <w:uiPriority w:val="99"/>
    <w:unhideWhenUsed/>
    <w:rsid w:val="00F32EA9"/>
    <w:pPr>
      <w:tabs>
        <w:tab w:val="center" w:pos="4513"/>
        <w:tab w:val="right" w:pos="9026"/>
      </w:tabs>
    </w:pPr>
  </w:style>
  <w:style w:type="character" w:customStyle="1" w:styleId="FooterChar">
    <w:name w:val="Footer Char"/>
    <w:basedOn w:val="DefaultParagraphFont"/>
    <w:link w:val="Footer"/>
    <w:uiPriority w:val="99"/>
    <w:rsid w:val="00F32EA9"/>
  </w:style>
  <w:style w:type="character" w:styleId="PageNumber">
    <w:name w:val="page number"/>
    <w:basedOn w:val="DefaultParagraphFont"/>
    <w:uiPriority w:val="99"/>
    <w:semiHidden/>
    <w:unhideWhenUsed/>
    <w:rsid w:val="00F32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913558">
      <w:bodyDiv w:val="1"/>
      <w:marLeft w:val="0"/>
      <w:marRight w:val="0"/>
      <w:marTop w:val="0"/>
      <w:marBottom w:val="0"/>
      <w:divBdr>
        <w:top w:val="none" w:sz="0" w:space="0" w:color="auto"/>
        <w:left w:val="none" w:sz="0" w:space="0" w:color="auto"/>
        <w:bottom w:val="none" w:sz="0" w:space="0" w:color="auto"/>
        <w:right w:val="none" w:sz="0" w:space="0" w:color="auto"/>
      </w:divBdr>
    </w:div>
    <w:div w:id="500393171">
      <w:bodyDiv w:val="1"/>
      <w:marLeft w:val="0"/>
      <w:marRight w:val="0"/>
      <w:marTop w:val="0"/>
      <w:marBottom w:val="0"/>
      <w:divBdr>
        <w:top w:val="none" w:sz="0" w:space="0" w:color="auto"/>
        <w:left w:val="none" w:sz="0" w:space="0" w:color="auto"/>
        <w:bottom w:val="none" w:sz="0" w:space="0" w:color="auto"/>
        <w:right w:val="none" w:sz="0" w:space="0" w:color="auto"/>
      </w:divBdr>
    </w:div>
    <w:div w:id="885070160">
      <w:bodyDiv w:val="1"/>
      <w:marLeft w:val="0"/>
      <w:marRight w:val="0"/>
      <w:marTop w:val="0"/>
      <w:marBottom w:val="0"/>
      <w:divBdr>
        <w:top w:val="none" w:sz="0" w:space="0" w:color="auto"/>
        <w:left w:val="none" w:sz="0" w:space="0" w:color="auto"/>
        <w:bottom w:val="none" w:sz="0" w:space="0" w:color="auto"/>
        <w:right w:val="none" w:sz="0" w:space="0" w:color="auto"/>
      </w:divBdr>
    </w:div>
    <w:div w:id="1606502469">
      <w:bodyDiv w:val="1"/>
      <w:marLeft w:val="0"/>
      <w:marRight w:val="0"/>
      <w:marTop w:val="0"/>
      <w:marBottom w:val="0"/>
      <w:divBdr>
        <w:top w:val="none" w:sz="0" w:space="0" w:color="auto"/>
        <w:left w:val="none" w:sz="0" w:space="0" w:color="auto"/>
        <w:bottom w:val="none" w:sz="0" w:space="0" w:color="auto"/>
        <w:right w:val="none" w:sz="0" w:space="0" w:color="auto"/>
      </w:divBdr>
    </w:div>
    <w:div w:id="1928534035">
      <w:bodyDiv w:val="1"/>
      <w:marLeft w:val="0"/>
      <w:marRight w:val="0"/>
      <w:marTop w:val="0"/>
      <w:marBottom w:val="0"/>
      <w:divBdr>
        <w:top w:val="none" w:sz="0" w:space="0" w:color="auto"/>
        <w:left w:val="none" w:sz="0" w:space="0" w:color="auto"/>
        <w:bottom w:val="none" w:sz="0" w:space="0" w:color="auto"/>
        <w:right w:val="none" w:sz="0" w:space="0" w:color="auto"/>
      </w:divBdr>
    </w:div>
    <w:div w:id="20972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cuments/University/Samf%20A%20/Hjemmeopgaver/2.%20Opgave/Figurer%20mv.%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pee/Documents/University/Samf%20A%20/Hjemmeopgaver/2.%20Opgave/Figurer%20mv.%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pee/Documents/University/Samf%20A%20/Hjemmeopgaver/2.%20Opgave/Figurer%20mv.%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1.</a:t>
            </a:r>
            <a:r>
              <a:rPr lang="en-GB" baseline="0"/>
              <a:t> Forsyningsbalancens udvikling</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459205245258725E-2"/>
          <c:y val="9.1979166666666667E-2"/>
          <c:w val="0.92064585312050007"/>
          <c:h val="0.68366870807815694"/>
        </c:manualLayout>
      </c:layout>
      <c:barChart>
        <c:barDir val="col"/>
        <c:grouping val="clustered"/>
        <c:varyColors val="0"/>
        <c:ser>
          <c:idx val="0"/>
          <c:order val="0"/>
          <c:tx>
            <c:strRef>
              <c:f>'NKN1'!$L$65</c:f>
              <c:strCache>
                <c:ptCount val="1"/>
                <c:pt idx="0">
                  <c:v>BNP(Y)</c:v>
                </c:pt>
              </c:strCache>
            </c:strRef>
          </c:tx>
          <c:spPr>
            <a:solidFill>
              <a:schemeClr val="accent1"/>
            </a:solidFill>
            <a:ln>
              <a:noFill/>
            </a:ln>
            <a:effectLst/>
          </c:spPr>
          <c:invertIfNegative val="0"/>
          <c:cat>
            <c:strRef>
              <c:f>'NKN1'!$M$64:$AE$64</c:f>
              <c:strCach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strCache>
            </c:strRef>
          </c:cat>
          <c:val>
            <c:numRef>
              <c:f>'NKN1'!$M$65:$AE$65</c:f>
              <c:numCache>
                <c:formatCode>0.0%</c:formatCode>
                <c:ptCount val="19"/>
                <c:pt idx="0">
                  <c:v>8.2279990460289998E-3</c:v>
                </c:pt>
                <c:pt idx="1">
                  <c:v>4.6717918391485647E-3</c:v>
                </c:pt>
                <c:pt idx="2">
                  <c:v>3.884866678439014E-3</c:v>
                </c:pt>
                <c:pt idx="3">
                  <c:v>2.6678393433010816E-2</c:v>
                </c:pt>
                <c:pt idx="4">
                  <c:v>2.3415191319246187E-2</c:v>
                </c:pt>
                <c:pt idx="5">
                  <c:v>3.9118303571428426E-2</c:v>
                </c:pt>
                <c:pt idx="6">
                  <c:v>9.0757746630150127E-3</c:v>
                </c:pt>
                <c:pt idx="7">
                  <c:v>-5.1091005854176919E-3</c:v>
                </c:pt>
                <c:pt idx="8">
                  <c:v>-4.9053172140793855E-2</c:v>
                </c:pt>
                <c:pt idx="9">
                  <c:v>1.8675817066996725E-2</c:v>
                </c:pt>
                <c:pt idx="10">
                  <c:v>1.3363520901209291E-2</c:v>
                </c:pt>
                <c:pt idx="11">
                  <c:v>2.288703612882248E-3</c:v>
                </c:pt>
                <c:pt idx="12">
                  <c:v>9.3513836785734661E-3</c:v>
                </c:pt>
                <c:pt idx="13">
                  <c:v>1.6159439806086695E-2</c:v>
                </c:pt>
                <c:pt idx="14">
                  <c:v>2.3429631592897016E-2</c:v>
                </c:pt>
                <c:pt idx="15">
                  <c:v>3.2475268037499339E-2</c:v>
                </c:pt>
                <c:pt idx="16">
                  <c:v>2.8193037022173018E-2</c:v>
                </c:pt>
                <c:pt idx="17">
                  <c:v>2.1760343481654898E-2</c:v>
                </c:pt>
                <c:pt idx="18">
                  <c:v>2.8507305892464974E-2</c:v>
                </c:pt>
              </c:numCache>
            </c:numRef>
          </c:val>
          <c:extLst>
            <c:ext xmlns:c16="http://schemas.microsoft.com/office/drawing/2014/chart" uri="{C3380CC4-5D6E-409C-BE32-E72D297353CC}">
              <c16:uniqueId val="{00000000-5C7D-1F4A-A575-52768314BD5E}"/>
            </c:ext>
          </c:extLst>
        </c:ser>
        <c:ser>
          <c:idx val="1"/>
          <c:order val="1"/>
          <c:tx>
            <c:strRef>
              <c:f>'NKN1'!$L$66</c:f>
              <c:strCache>
                <c:ptCount val="1"/>
                <c:pt idx="0">
                  <c:v>Import(M)</c:v>
                </c:pt>
              </c:strCache>
            </c:strRef>
          </c:tx>
          <c:spPr>
            <a:solidFill>
              <a:schemeClr val="accent2"/>
            </a:solidFill>
            <a:ln>
              <a:noFill/>
            </a:ln>
            <a:effectLst/>
          </c:spPr>
          <c:invertIfNegative val="0"/>
          <c:cat>
            <c:strRef>
              <c:f>'NKN1'!$M$64:$AE$64</c:f>
              <c:strCach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strCache>
            </c:strRef>
          </c:cat>
          <c:val>
            <c:numRef>
              <c:f>'NKN1'!$M$66:$AE$66</c:f>
              <c:numCache>
                <c:formatCode>0.0%</c:formatCode>
                <c:ptCount val="19"/>
                <c:pt idx="0">
                  <c:v>2.4056861673045216E-2</c:v>
                </c:pt>
                <c:pt idx="1">
                  <c:v>6.3712404342409767E-2</c:v>
                </c:pt>
                <c:pt idx="2">
                  <c:v>-1.0205788857286291E-2</c:v>
                </c:pt>
                <c:pt idx="3">
                  <c:v>7.1331981068289307E-2</c:v>
                </c:pt>
                <c:pt idx="4">
                  <c:v>0.11281161249605565</c:v>
                </c:pt>
                <c:pt idx="5">
                  <c:v>0.13979866723380119</c:v>
                </c:pt>
                <c:pt idx="6">
                  <c:v>5.8340589625575312E-2</c:v>
                </c:pt>
                <c:pt idx="7">
                  <c:v>4.7719793135872157E-2</c:v>
                </c:pt>
                <c:pt idx="8">
                  <c:v>-0.11947498317253757</c:v>
                </c:pt>
                <c:pt idx="9">
                  <c:v>5.3510001274048591E-3</c:v>
                </c:pt>
                <c:pt idx="10">
                  <c:v>7.451527056139895E-2</c:v>
                </c:pt>
                <c:pt idx="11">
                  <c:v>2.7125840311357452E-2</c:v>
                </c:pt>
                <c:pt idx="12">
                  <c:v>1.4697439430474191E-2</c:v>
                </c:pt>
                <c:pt idx="13">
                  <c:v>3.8927237750367771E-2</c:v>
                </c:pt>
                <c:pt idx="14">
                  <c:v>4.5637730094760798E-2</c:v>
                </c:pt>
                <c:pt idx="15">
                  <c:v>3.6562500000000053E-2</c:v>
                </c:pt>
                <c:pt idx="16">
                  <c:v>4.1905336147120886E-2</c:v>
                </c:pt>
                <c:pt idx="17">
                  <c:v>4.7550154320987525E-2</c:v>
                </c:pt>
                <c:pt idx="18">
                  <c:v>2.4399226590553269E-2</c:v>
                </c:pt>
              </c:numCache>
            </c:numRef>
          </c:val>
          <c:extLst>
            <c:ext xmlns:c16="http://schemas.microsoft.com/office/drawing/2014/chart" uri="{C3380CC4-5D6E-409C-BE32-E72D297353CC}">
              <c16:uniqueId val="{00000001-5C7D-1F4A-A575-52768314BD5E}"/>
            </c:ext>
          </c:extLst>
        </c:ser>
        <c:ser>
          <c:idx val="2"/>
          <c:order val="2"/>
          <c:tx>
            <c:strRef>
              <c:f>'NKN1'!$L$67</c:f>
              <c:strCache>
                <c:ptCount val="1"/>
                <c:pt idx="0">
                  <c:v>Eksport(X)</c:v>
                </c:pt>
              </c:strCache>
            </c:strRef>
          </c:tx>
          <c:spPr>
            <a:solidFill>
              <a:schemeClr val="accent3"/>
            </a:solidFill>
            <a:ln>
              <a:noFill/>
            </a:ln>
            <a:effectLst/>
          </c:spPr>
          <c:invertIfNegative val="0"/>
          <c:cat>
            <c:strRef>
              <c:f>'NKN1'!$M$64:$AE$64</c:f>
              <c:strCach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strCache>
            </c:strRef>
          </c:cat>
          <c:val>
            <c:numRef>
              <c:f>'NKN1'!$M$67:$AE$67</c:f>
              <c:numCache>
                <c:formatCode>0.0%</c:formatCode>
                <c:ptCount val="19"/>
                <c:pt idx="0">
                  <c:v>3.3577270770555279E-2</c:v>
                </c:pt>
                <c:pt idx="1">
                  <c:v>4.3592947383034986E-2</c:v>
                </c:pt>
                <c:pt idx="2">
                  <c:v>-1.1972861513901867E-2</c:v>
                </c:pt>
                <c:pt idx="3">
                  <c:v>3.016022620169645E-2</c:v>
                </c:pt>
                <c:pt idx="4">
                  <c:v>7.7244804600705708E-2</c:v>
                </c:pt>
                <c:pt idx="5">
                  <c:v>0.10337296772628002</c:v>
                </c:pt>
                <c:pt idx="6">
                  <c:v>3.6507587420277154E-2</c:v>
                </c:pt>
                <c:pt idx="7">
                  <c:v>3.8722681943560433E-2</c:v>
                </c:pt>
                <c:pt idx="8">
                  <c:v>-9.222755591870091E-2</c:v>
                </c:pt>
                <c:pt idx="9">
                  <c:v>2.9365436543654422E-2</c:v>
                </c:pt>
                <c:pt idx="10">
                  <c:v>7.2029730025139349E-2</c:v>
                </c:pt>
                <c:pt idx="11">
                  <c:v>1.1623164763458593E-2</c:v>
                </c:pt>
                <c:pt idx="12">
                  <c:v>1.6024994960693428E-2</c:v>
                </c:pt>
                <c:pt idx="13">
                  <c:v>3.1346096617399066E-2</c:v>
                </c:pt>
                <c:pt idx="14">
                  <c:v>3.5779551793786668E-2</c:v>
                </c:pt>
                <c:pt idx="15">
                  <c:v>4.1136595784195373E-2</c:v>
                </c:pt>
                <c:pt idx="16">
                  <c:v>4.807349268640726E-2</c:v>
                </c:pt>
                <c:pt idx="17">
                  <c:v>3.2507871670496069E-2</c:v>
                </c:pt>
                <c:pt idx="18">
                  <c:v>5.0358526333141196E-2</c:v>
                </c:pt>
              </c:numCache>
            </c:numRef>
          </c:val>
          <c:extLst>
            <c:ext xmlns:c16="http://schemas.microsoft.com/office/drawing/2014/chart" uri="{C3380CC4-5D6E-409C-BE32-E72D297353CC}">
              <c16:uniqueId val="{00000002-5C7D-1F4A-A575-52768314BD5E}"/>
            </c:ext>
          </c:extLst>
        </c:ser>
        <c:ser>
          <c:idx val="3"/>
          <c:order val="3"/>
          <c:tx>
            <c:strRef>
              <c:f>'NKN1'!$L$68</c:f>
              <c:strCache>
                <c:ptCount val="1"/>
                <c:pt idx="0">
                  <c:v>Privatforbrug©</c:v>
                </c:pt>
              </c:strCache>
            </c:strRef>
          </c:tx>
          <c:spPr>
            <a:solidFill>
              <a:schemeClr val="accent4"/>
            </a:solidFill>
            <a:ln>
              <a:noFill/>
            </a:ln>
            <a:effectLst/>
          </c:spPr>
          <c:invertIfNegative val="0"/>
          <c:cat>
            <c:strRef>
              <c:f>'NKN1'!$M$64:$AE$64</c:f>
              <c:strCach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strCache>
            </c:strRef>
          </c:cat>
          <c:val>
            <c:numRef>
              <c:f>'NKN1'!$M$68:$AE$68</c:f>
              <c:numCache>
                <c:formatCode>0.0%</c:formatCode>
                <c:ptCount val="19"/>
                <c:pt idx="0">
                  <c:v>2.2588360350783709E-3</c:v>
                </c:pt>
                <c:pt idx="1">
                  <c:v>1.4450483892350707E-2</c:v>
                </c:pt>
                <c:pt idx="2">
                  <c:v>1.3329848405645439E-2</c:v>
                </c:pt>
                <c:pt idx="3">
                  <c:v>4.6556615940160029E-2</c:v>
                </c:pt>
                <c:pt idx="4">
                  <c:v>3.6968576709796697E-2</c:v>
                </c:pt>
                <c:pt idx="5">
                  <c:v>2.9471182412358798E-2</c:v>
                </c:pt>
                <c:pt idx="6">
                  <c:v>1.7661318250028923E-2</c:v>
                </c:pt>
                <c:pt idx="7">
                  <c:v>4.8774954627948119E-3</c:v>
                </c:pt>
                <c:pt idx="8">
                  <c:v>-3.4315385483688843E-2</c:v>
                </c:pt>
                <c:pt idx="9">
                  <c:v>7.8316773816482499E-3</c:v>
                </c:pt>
                <c:pt idx="10">
                  <c:v>2.7835768963118124E-3</c:v>
                </c:pt>
                <c:pt idx="11">
                  <c:v>5.0890585241729624E-3</c:v>
                </c:pt>
                <c:pt idx="12">
                  <c:v>2.8768699654775354E-3</c:v>
                </c:pt>
                <c:pt idx="13">
                  <c:v>9.0648307515777127E-3</c:v>
                </c:pt>
                <c:pt idx="14">
                  <c:v>2.2856493063452277E-2</c:v>
                </c:pt>
                <c:pt idx="15">
                  <c:v>2.4124513618677179E-2</c:v>
                </c:pt>
                <c:pt idx="16">
                  <c:v>2.2904906643508305E-2</c:v>
                </c:pt>
                <c:pt idx="17">
                  <c:v>2.7379815345431435E-2</c:v>
                </c:pt>
                <c:pt idx="18">
                  <c:v>1.3944840409048753E-2</c:v>
                </c:pt>
              </c:numCache>
            </c:numRef>
          </c:val>
          <c:extLst>
            <c:ext xmlns:c16="http://schemas.microsoft.com/office/drawing/2014/chart" uri="{C3380CC4-5D6E-409C-BE32-E72D297353CC}">
              <c16:uniqueId val="{00000003-5C7D-1F4A-A575-52768314BD5E}"/>
            </c:ext>
          </c:extLst>
        </c:ser>
        <c:ser>
          <c:idx val="4"/>
          <c:order val="4"/>
          <c:tx>
            <c:strRef>
              <c:f>'NKN1'!$L$69</c:f>
              <c:strCache>
                <c:ptCount val="1"/>
                <c:pt idx="0">
                  <c:v>Off. Forbrug(G)</c:v>
                </c:pt>
              </c:strCache>
            </c:strRef>
          </c:tx>
          <c:spPr>
            <a:solidFill>
              <a:schemeClr val="accent5"/>
            </a:solidFill>
            <a:ln>
              <a:noFill/>
            </a:ln>
            <a:effectLst/>
          </c:spPr>
          <c:invertIfNegative val="0"/>
          <c:cat>
            <c:strRef>
              <c:f>'NKN1'!$M$64:$AE$64</c:f>
              <c:strCach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strCache>
            </c:strRef>
          </c:cat>
          <c:val>
            <c:numRef>
              <c:f>'NKN1'!$M$69:$AE$69</c:f>
              <c:numCache>
                <c:formatCode>0.0%</c:formatCode>
                <c:ptCount val="19"/>
                <c:pt idx="0">
                  <c:v>1.8922852983988436E-2</c:v>
                </c:pt>
                <c:pt idx="1">
                  <c:v>2.1428571428571352E-2</c:v>
                </c:pt>
                <c:pt idx="2">
                  <c:v>2.3310023310023631E-3</c:v>
                </c:pt>
                <c:pt idx="3">
                  <c:v>1.5348837209302468E-2</c:v>
                </c:pt>
                <c:pt idx="4">
                  <c:v>1.1910215300045879E-2</c:v>
                </c:pt>
                <c:pt idx="5">
                  <c:v>2.5577184246265317E-2</c:v>
                </c:pt>
                <c:pt idx="6">
                  <c:v>1.1917898918560876E-2</c:v>
                </c:pt>
                <c:pt idx="7">
                  <c:v>3.2497273718647746E-2</c:v>
                </c:pt>
                <c:pt idx="8">
                  <c:v>3.041825095057038E-2</c:v>
                </c:pt>
                <c:pt idx="9">
                  <c:v>1.5990159901599021E-2</c:v>
                </c:pt>
                <c:pt idx="10">
                  <c:v>-6.2550443906376207E-3</c:v>
                </c:pt>
                <c:pt idx="11">
                  <c:v>7.5126903553299762E-3</c:v>
                </c:pt>
                <c:pt idx="12">
                  <c:v>-1.0076582023377245E-3</c:v>
                </c:pt>
                <c:pt idx="13">
                  <c:v>1.9366552350211785E-2</c:v>
                </c:pt>
                <c:pt idx="14">
                  <c:v>1.6821690085097929E-2</c:v>
                </c:pt>
                <c:pt idx="15">
                  <c:v>1.5570260801869296E-3</c:v>
                </c:pt>
                <c:pt idx="16">
                  <c:v>8.74465604352892E-3</c:v>
                </c:pt>
                <c:pt idx="17">
                  <c:v>3.0822577538047735E-3</c:v>
                </c:pt>
                <c:pt idx="18">
                  <c:v>1.2291146533512487E-2</c:v>
                </c:pt>
              </c:numCache>
            </c:numRef>
          </c:val>
          <c:extLst>
            <c:ext xmlns:c16="http://schemas.microsoft.com/office/drawing/2014/chart" uri="{C3380CC4-5D6E-409C-BE32-E72D297353CC}">
              <c16:uniqueId val="{00000004-5C7D-1F4A-A575-52768314BD5E}"/>
            </c:ext>
          </c:extLst>
        </c:ser>
        <c:ser>
          <c:idx val="5"/>
          <c:order val="5"/>
          <c:tx>
            <c:strRef>
              <c:f>'NKN1'!$L$70</c:f>
              <c:strCache>
                <c:ptCount val="1"/>
                <c:pt idx="0">
                  <c:v>Bruttoinvesteringer(I)</c:v>
                </c:pt>
              </c:strCache>
            </c:strRef>
          </c:tx>
          <c:spPr>
            <a:solidFill>
              <a:schemeClr val="accent6"/>
            </a:solidFill>
            <a:ln>
              <a:noFill/>
            </a:ln>
            <a:effectLst/>
          </c:spPr>
          <c:invertIfNegative val="0"/>
          <c:cat>
            <c:strRef>
              <c:f>'NKN1'!$M$64:$AE$64</c:f>
              <c:strCache>
                <c:ptCount val="19"/>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strCache>
            </c:strRef>
          </c:cat>
          <c:val>
            <c:numRef>
              <c:f>'NKN1'!$M$70:$AE$70</c:f>
              <c:numCache>
                <c:formatCode>0.0%</c:formatCode>
                <c:ptCount val="19"/>
                <c:pt idx="0">
                  <c:v>-1.4933946008041321E-2</c:v>
                </c:pt>
                <c:pt idx="1">
                  <c:v>-1.1953352769679348E-2</c:v>
                </c:pt>
                <c:pt idx="2">
                  <c:v>-6.7866627323692752E-3</c:v>
                </c:pt>
                <c:pt idx="3">
                  <c:v>6.7736185383244107E-2</c:v>
                </c:pt>
                <c:pt idx="4">
                  <c:v>5.5091819699499167E-2</c:v>
                </c:pt>
                <c:pt idx="5">
                  <c:v>0.12790084388185652</c:v>
                </c:pt>
                <c:pt idx="6">
                  <c:v>2.6654196866962909E-2</c:v>
                </c:pt>
                <c:pt idx="7">
                  <c:v>-4.8052835345023914E-2</c:v>
                </c:pt>
                <c:pt idx="8">
                  <c:v>-0.21220095693779906</c:v>
                </c:pt>
                <c:pt idx="9">
                  <c:v>-6.0734892195566381E-3</c:v>
                </c:pt>
                <c:pt idx="10">
                  <c:v>5.4689886953864786E-2</c:v>
                </c:pt>
                <c:pt idx="11">
                  <c:v>2.2885283893395281E-2</c:v>
                </c:pt>
                <c:pt idx="12">
                  <c:v>3.3984706881903248E-2</c:v>
                </c:pt>
                <c:pt idx="13">
                  <c:v>4.300191728293612E-2</c:v>
                </c:pt>
                <c:pt idx="14">
                  <c:v>5.2258403361344463E-2</c:v>
                </c:pt>
                <c:pt idx="15">
                  <c:v>7.6116795607686472E-2</c:v>
                </c:pt>
                <c:pt idx="16">
                  <c:v>4.2207792207792139E-2</c:v>
                </c:pt>
                <c:pt idx="17">
                  <c:v>5.9857587894971198E-2</c:v>
                </c:pt>
                <c:pt idx="18">
                  <c:v>1.2597102666386695E-2</c:v>
                </c:pt>
              </c:numCache>
            </c:numRef>
          </c:val>
          <c:extLst>
            <c:ext xmlns:c16="http://schemas.microsoft.com/office/drawing/2014/chart" uri="{C3380CC4-5D6E-409C-BE32-E72D297353CC}">
              <c16:uniqueId val="{00000005-5C7D-1F4A-A575-52768314BD5E}"/>
            </c:ext>
          </c:extLst>
        </c:ser>
        <c:dLbls>
          <c:showLegendKey val="0"/>
          <c:showVal val="0"/>
          <c:showCatName val="0"/>
          <c:showSerName val="0"/>
          <c:showPercent val="0"/>
          <c:showBubbleSize val="0"/>
        </c:dLbls>
        <c:gapWidth val="219"/>
        <c:overlap val="-27"/>
        <c:axId val="220605552"/>
        <c:axId val="165019376"/>
      </c:barChart>
      <c:catAx>
        <c:axId val="22060555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19376"/>
        <c:crosses val="autoZero"/>
        <c:auto val="1"/>
        <c:lblAlgn val="ctr"/>
        <c:lblOffset val="100"/>
        <c:noMultiLvlLbl val="0"/>
      </c:catAx>
      <c:valAx>
        <c:axId val="165019376"/>
        <c:scaling>
          <c:orientation val="minMax"/>
          <c:max val="0.15000000000000002"/>
          <c:min val="-0.22000000000000003"/>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60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a:t>
            </a:r>
            <a:r>
              <a:rPr lang="en-GB" baseline="0"/>
              <a:t> 2. Bruttonationalproduktets sæsonkorrigeret udvikling</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BNP</c:v>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0"/>
            <c:dispEq val="1"/>
            <c:trendlineLbl>
              <c:layout>
                <c:manualLayout>
                  <c:x val="-0.16477291338582678"/>
                  <c:y val="-2.00794093372889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'NKN1'!$A$8:$A$90</c:f>
              <c:strCache>
                <c:ptCount val="83"/>
                <c:pt idx="0">
                  <c:v>1999K4</c:v>
                </c:pt>
                <c:pt idx="1">
                  <c:v>2000K1</c:v>
                </c:pt>
                <c:pt idx="2">
                  <c:v>2000K2</c:v>
                </c:pt>
                <c:pt idx="3">
                  <c:v>2000K3</c:v>
                </c:pt>
                <c:pt idx="4">
                  <c:v>2000K4</c:v>
                </c:pt>
                <c:pt idx="5">
                  <c:v>2001K1</c:v>
                </c:pt>
                <c:pt idx="6">
                  <c:v>2001K2</c:v>
                </c:pt>
                <c:pt idx="7">
                  <c:v>2001K3</c:v>
                </c:pt>
                <c:pt idx="8">
                  <c:v>2001K4</c:v>
                </c:pt>
                <c:pt idx="9">
                  <c:v>2002K1</c:v>
                </c:pt>
                <c:pt idx="10">
                  <c:v>2002K2</c:v>
                </c:pt>
                <c:pt idx="11">
                  <c:v>2002K3</c:v>
                </c:pt>
                <c:pt idx="12">
                  <c:v>2002K4</c:v>
                </c:pt>
                <c:pt idx="13">
                  <c:v>2003K1</c:v>
                </c:pt>
                <c:pt idx="14">
                  <c:v>2003K2</c:v>
                </c:pt>
                <c:pt idx="15">
                  <c:v>2003K3</c:v>
                </c:pt>
                <c:pt idx="16">
                  <c:v>2003K4</c:v>
                </c:pt>
                <c:pt idx="17">
                  <c:v>2004K1</c:v>
                </c:pt>
                <c:pt idx="18">
                  <c:v>2004K2</c:v>
                </c:pt>
                <c:pt idx="19">
                  <c:v>2004K3</c:v>
                </c:pt>
                <c:pt idx="20">
                  <c:v>2004K4</c:v>
                </c:pt>
                <c:pt idx="21">
                  <c:v>2005K1</c:v>
                </c:pt>
                <c:pt idx="22">
                  <c:v>2005K2</c:v>
                </c:pt>
                <c:pt idx="23">
                  <c:v>2005K3</c:v>
                </c:pt>
                <c:pt idx="24">
                  <c:v>2005K4</c:v>
                </c:pt>
                <c:pt idx="25">
                  <c:v>2006K1</c:v>
                </c:pt>
                <c:pt idx="26">
                  <c:v>2006K2</c:v>
                </c:pt>
                <c:pt idx="27">
                  <c:v>2006K3</c:v>
                </c:pt>
                <c:pt idx="28">
                  <c:v>2006K4</c:v>
                </c:pt>
                <c:pt idx="29">
                  <c:v>2007K1</c:v>
                </c:pt>
                <c:pt idx="30">
                  <c:v>2007K2</c:v>
                </c:pt>
                <c:pt idx="31">
                  <c:v>2007K3</c:v>
                </c:pt>
                <c:pt idx="32">
                  <c:v>2007K4</c:v>
                </c:pt>
                <c:pt idx="33">
                  <c:v>2008K1</c:v>
                </c:pt>
                <c:pt idx="34">
                  <c:v>2008K2</c:v>
                </c:pt>
                <c:pt idx="35">
                  <c:v>2008K3</c:v>
                </c:pt>
                <c:pt idx="36">
                  <c:v>2008K4</c:v>
                </c:pt>
                <c:pt idx="37">
                  <c:v>2009K1</c:v>
                </c:pt>
                <c:pt idx="38">
                  <c:v>2009K2</c:v>
                </c:pt>
                <c:pt idx="39">
                  <c:v>2009K3</c:v>
                </c:pt>
                <c:pt idx="40">
                  <c:v>2009K4</c:v>
                </c:pt>
                <c:pt idx="41">
                  <c:v>2010K1</c:v>
                </c:pt>
                <c:pt idx="42">
                  <c:v>2010K2</c:v>
                </c:pt>
                <c:pt idx="43">
                  <c:v>2010K3</c:v>
                </c:pt>
                <c:pt idx="44">
                  <c:v>2010K4</c:v>
                </c:pt>
                <c:pt idx="45">
                  <c:v>2011K1</c:v>
                </c:pt>
                <c:pt idx="46">
                  <c:v>2011K2</c:v>
                </c:pt>
                <c:pt idx="47">
                  <c:v>2011K3</c:v>
                </c:pt>
                <c:pt idx="48">
                  <c:v>2011K4</c:v>
                </c:pt>
                <c:pt idx="49">
                  <c:v>2012K1</c:v>
                </c:pt>
                <c:pt idx="50">
                  <c:v>2012K2</c:v>
                </c:pt>
                <c:pt idx="51">
                  <c:v>2012K3</c:v>
                </c:pt>
                <c:pt idx="52">
                  <c:v>2012K4</c:v>
                </c:pt>
                <c:pt idx="53">
                  <c:v>2013K1</c:v>
                </c:pt>
                <c:pt idx="54">
                  <c:v>2013K2</c:v>
                </c:pt>
                <c:pt idx="55">
                  <c:v>2013K3</c:v>
                </c:pt>
                <c:pt idx="56">
                  <c:v>2013K4</c:v>
                </c:pt>
                <c:pt idx="57">
                  <c:v>2014K1</c:v>
                </c:pt>
                <c:pt idx="58">
                  <c:v>2014K2</c:v>
                </c:pt>
                <c:pt idx="59">
                  <c:v>2014K3</c:v>
                </c:pt>
                <c:pt idx="60">
                  <c:v>2014K4</c:v>
                </c:pt>
                <c:pt idx="61">
                  <c:v>2015K1</c:v>
                </c:pt>
                <c:pt idx="62">
                  <c:v>2015K2</c:v>
                </c:pt>
                <c:pt idx="63">
                  <c:v>2015K3</c:v>
                </c:pt>
                <c:pt idx="64">
                  <c:v>2015K4</c:v>
                </c:pt>
                <c:pt idx="65">
                  <c:v>2016K1</c:v>
                </c:pt>
                <c:pt idx="66">
                  <c:v>2016K2</c:v>
                </c:pt>
                <c:pt idx="67">
                  <c:v>2016K3</c:v>
                </c:pt>
                <c:pt idx="68">
                  <c:v>2016K4</c:v>
                </c:pt>
                <c:pt idx="69">
                  <c:v>2017K1</c:v>
                </c:pt>
                <c:pt idx="70">
                  <c:v>2017K2</c:v>
                </c:pt>
                <c:pt idx="71">
                  <c:v>2017K3</c:v>
                </c:pt>
                <c:pt idx="72">
                  <c:v>2017K4</c:v>
                </c:pt>
                <c:pt idx="73">
                  <c:v>2018K1</c:v>
                </c:pt>
                <c:pt idx="74">
                  <c:v>2018K2</c:v>
                </c:pt>
                <c:pt idx="75">
                  <c:v>2018K3</c:v>
                </c:pt>
                <c:pt idx="76">
                  <c:v>2018K4</c:v>
                </c:pt>
                <c:pt idx="77">
                  <c:v>2019K1</c:v>
                </c:pt>
                <c:pt idx="78">
                  <c:v>2019K2</c:v>
                </c:pt>
                <c:pt idx="79">
                  <c:v>2019K3</c:v>
                </c:pt>
                <c:pt idx="80">
                  <c:v>2019K4</c:v>
                </c:pt>
                <c:pt idx="81">
                  <c:v>2020K1</c:v>
                </c:pt>
                <c:pt idx="82">
                  <c:v>2020K2</c:v>
                </c:pt>
              </c:strCache>
            </c:strRef>
          </c:cat>
          <c:val>
            <c:numRef>
              <c:f>'NKN1'!$B$8:$B$90</c:f>
              <c:numCache>
                <c:formatCode>General</c:formatCode>
                <c:ptCount val="83"/>
                <c:pt idx="0">
                  <c:v>410.2</c:v>
                </c:pt>
                <c:pt idx="1">
                  <c:v>414.2</c:v>
                </c:pt>
                <c:pt idx="2">
                  <c:v>418.9</c:v>
                </c:pt>
                <c:pt idx="3">
                  <c:v>420</c:v>
                </c:pt>
                <c:pt idx="4">
                  <c:v>424.1</c:v>
                </c:pt>
                <c:pt idx="5">
                  <c:v>419.5</c:v>
                </c:pt>
                <c:pt idx="6">
                  <c:v>421.6</c:v>
                </c:pt>
                <c:pt idx="7">
                  <c:v>425.4</c:v>
                </c:pt>
                <c:pt idx="8">
                  <c:v>424.5</c:v>
                </c:pt>
                <c:pt idx="9">
                  <c:v>424.4</c:v>
                </c:pt>
                <c:pt idx="10">
                  <c:v>424.3</c:v>
                </c:pt>
                <c:pt idx="11">
                  <c:v>425.8</c:v>
                </c:pt>
                <c:pt idx="12">
                  <c:v>424.4</c:v>
                </c:pt>
                <c:pt idx="13">
                  <c:v>426.7</c:v>
                </c:pt>
                <c:pt idx="14">
                  <c:v>422.7</c:v>
                </c:pt>
                <c:pt idx="15">
                  <c:v>424.1</c:v>
                </c:pt>
                <c:pt idx="16">
                  <c:v>432</c:v>
                </c:pt>
                <c:pt idx="17">
                  <c:v>434.1</c:v>
                </c:pt>
                <c:pt idx="18">
                  <c:v>436.7</c:v>
                </c:pt>
                <c:pt idx="19">
                  <c:v>437.7</c:v>
                </c:pt>
                <c:pt idx="20">
                  <c:v>442.5</c:v>
                </c:pt>
                <c:pt idx="21">
                  <c:v>440.9</c:v>
                </c:pt>
                <c:pt idx="22">
                  <c:v>449.5</c:v>
                </c:pt>
                <c:pt idx="23">
                  <c:v>450</c:v>
                </c:pt>
                <c:pt idx="24">
                  <c:v>451.5</c:v>
                </c:pt>
                <c:pt idx="25">
                  <c:v>457.2</c:v>
                </c:pt>
                <c:pt idx="26">
                  <c:v>470.8</c:v>
                </c:pt>
                <c:pt idx="27">
                  <c:v>467.7</c:v>
                </c:pt>
                <c:pt idx="28">
                  <c:v>466.4</c:v>
                </c:pt>
                <c:pt idx="29">
                  <c:v>468</c:v>
                </c:pt>
                <c:pt idx="30">
                  <c:v>465.9</c:v>
                </c:pt>
                <c:pt idx="31">
                  <c:v>470.2</c:v>
                </c:pt>
                <c:pt idx="32">
                  <c:v>475</c:v>
                </c:pt>
                <c:pt idx="33">
                  <c:v>474.8</c:v>
                </c:pt>
                <c:pt idx="34">
                  <c:v>470.4</c:v>
                </c:pt>
                <c:pt idx="35">
                  <c:v>467.6</c:v>
                </c:pt>
                <c:pt idx="36">
                  <c:v>456.6</c:v>
                </c:pt>
                <c:pt idx="37">
                  <c:v>450.1</c:v>
                </c:pt>
                <c:pt idx="38">
                  <c:v>441.4</c:v>
                </c:pt>
                <c:pt idx="39">
                  <c:v>442.9</c:v>
                </c:pt>
                <c:pt idx="40">
                  <c:v>443.3</c:v>
                </c:pt>
                <c:pt idx="41">
                  <c:v>447.1</c:v>
                </c:pt>
                <c:pt idx="42">
                  <c:v>450.2</c:v>
                </c:pt>
                <c:pt idx="43">
                  <c:v>457.3</c:v>
                </c:pt>
                <c:pt idx="44">
                  <c:v>456.3</c:v>
                </c:pt>
                <c:pt idx="45">
                  <c:v>457.3</c:v>
                </c:pt>
                <c:pt idx="46">
                  <c:v>461.9</c:v>
                </c:pt>
                <c:pt idx="47">
                  <c:v>456.1</c:v>
                </c:pt>
                <c:pt idx="48">
                  <c:v>459.9</c:v>
                </c:pt>
                <c:pt idx="49">
                  <c:v>459.5</c:v>
                </c:pt>
                <c:pt idx="50">
                  <c:v>459.9</c:v>
                </c:pt>
                <c:pt idx="51">
                  <c:v>460.3</c:v>
                </c:pt>
                <c:pt idx="52">
                  <c:v>459.6</c:v>
                </c:pt>
                <c:pt idx="53">
                  <c:v>462.2</c:v>
                </c:pt>
                <c:pt idx="54">
                  <c:v>462.5</c:v>
                </c:pt>
                <c:pt idx="55">
                  <c:v>465.4</c:v>
                </c:pt>
                <c:pt idx="56">
                  <c:v>466.4</c:v>
                </c:pt>
                <c:pt idx="57">
                  <c:v>467.5</c:v>
                </c:pt>
                <c:pt idx="58">
                  <c:v>467.2</c:v>
                </c:pt>
                <c:pt idx="59">
                  <c:v>475</c:v>
                </c:pt>
                <c:pt idx="60">
                  <c:v>476.7</c:v>
                </c:pt>
                <c:pt idx="61">
                  <c:v>480</c:v>
                </c:pt>
                <c:pt idx="62">
                  <c:v>482.2</c:v>
                </c:pt>
                <c:pt idx="63">
                  <c:v>483.7</c:v>
                </c:pt>
                <c:pt idx="64">
                  <c:v>484.8</c:v>
                </c:pt>
                <c:pt idx="65">
                  <c:v>490.4</c:v>
                </c:pt>
                <c:pt idx="66">
                  <c:v>497</c:v>
                </c:pt>
                <c:pt idx="67">
                  <c:v>501.2</c:v>
                </c:pt>
                <c:pt idx="68">
                  <c:v>504.8</c:v>
                </c:pt>
                <c:pt idx="69">
                  <c:v>508.1</c:v>
                </c:pt>
                <c:pt idx="70">
                  <c:v>513.79999999999995</c:v>
                </c:pt>
                <c:pt idx="71">
                  <c:v>511.9</c:v>
                </c:pt>
                <c:pt idx="72">
                  <c:v>515.79999999999995</c:v>
                </c:pt>
                <c:pt idx="73">
                  <c:v>519.4</c:v>
                </c:pt>
                <c:pt idx="74">
                  <c:v>521</c:v>
                </c:pt>
                <c:pt idx="75">
                  <c:v>524.6</c:v>
                </c:pt>
                <c:pt idx="76">
                  <c:v>529.29999999999995</c:v>
                </c:pt>
                <c:pt idx="77">
                  <c:v>533.6</c:v>
                </c:pt>
                <c:pt idx="78">
                  <c:v>538.29999999999995</c:v>
                </c:pt>
                <c:pt idx="79">
                  <c:v>540</c:v>
                </c:pt>
                <c:pt idx="80">
                  <c:v>542</c:v>
                </c:pt>
                <c:pt idx="81">
                  <c:v>533.29999999999995</c:v>
                </c:pt>
                <c:pt idx="82">
                  <c:v>497</c:v>
                </c:pt>
              </c:numCache>
            </c:numRef>
          </c:val>
          <c:smooth val="0"/>
          <c:extLst>
            <c:ext xmlns:c16="http://schemas.microsoft.com/office/drawing/2014/chart" uri="{C3380CC4-5D6E-409C-BE32-E72D297353CC}">
              <c16:uniqueId val="{00000001-DB86-3748-8742-C29D0973933F}"/>
            </c:ext>
          </c:extLst>
        </c:ser>
        <c:ser>
          <c:idx val="1"/>
          <c:order val="1"/>
          <c:tx>
            <c:v>BNP(5kvt.glidende gns) </c:v>
          </c:tx>
          <c:spPr>
            <a:ln w="28575" cap="rnd">
              <a:solidFill>
                <a:schemeClr val="accent2"/>
              </a:solidFill>
              <a:round/>
            </a:ln>
            <a:effectLst/>
          </c:spPr>
          <c:marker>
            <c:symbol val="none"/>
          </c:marker>
          <c:cat>
            <c:strRef>
              <c:f>'NKN1'!$A$8:$A$90</c:f>
              <c:strCache>
                <c:ptCount val="83"/>
                <c:pt idx="0">
                  <c:v>1999K4</c:v>
                </c:pt>
                <c:pt idx="1">
                  <c:v>2000K1</c:v>
                </c:pt>
                <c:pt idx="2">
                  <c:v>2000K2</c:v>
                </c:pt>
                <c:pt idx="3">
                  <c:v>2000K3</c:v>
                </c:pt>
                <c:pt idx="4">
                  <c:v>2000K4</c:v>
                </c:pt>
                <c:pt idx="5">
                  <c:v>2001K1</c:v>
                </c:pt>
                <c:pt idx="6">
                  <c:v>2001K2</c:v>
                </c:pt>
                <c:pt idx="7">
                  <c:v>2001K3</c:v>
                </c:pt>
                <c:pt idx="8">
                  <c:v>2001K4</c:v>
                </c:pt>
                <c:pt idx="9">
                  <c:v>2002K1</c:v>
                </c:pt>
                <c:pt idx="10">
                  <c:v>2002K2</c:v>
                </c:pt>
                <c:pt idx="11">
                  <c:v>2002K3</c:v>
                </c:pt>
                <c:pt idx="12">
                  <c:v>2002K4</c:v>
                </c:pt>
                <c:pt idx="13">
                  <c:v>2003K1</c:v>
                </c:pt>
                <c:pt idx="14">
                  <c:v>2003K2</c:v>
                </c:pt>
                <c:pt idx="15">
                  <c:v>2003K3</c:v>
                </c:pt>
                <c:pt idx="16">
                  <c:v>2003K4</c:v>
                </c:pt>
                <c:pt idx="17">
                  <c:v>2004K1</c:v>
                </c:pt>
                <c:pt idx="18">
                  <c:v>2004K2</c:v>
                </c:pt>
                <c:pt idx="19">
                  <c:v>2004K3</c:v>
                </c:pt>
                <c:pt idx="20">
                  <c:v>2004K4</c:v>
                </c:pt>
                <c:pt idx="21">
                  <c:v>2005K1</c:v>
                </c:pt>
                <c:pt idx="22">
                  <c:v>2005K2</c:v>
                </c:pt>
                <c:pt idx="23">
                  <c:v>2005K3</c:v>
                </c:pt>
                <c:pt idx="24">
                  <c:v>2005K4</c:v>
                </c:pt>
                <c:pt idx="25">
                  <c:v>2006K1</c:v>
                </c:pt>
                <c:pt idx="26">
                  <c:v>2006K2</c:v>
                </c:pt>
                <c:pt idx="27">
                  <c:v>2006K3</c:v>
                </c:pt>
                <c:pt idx="28">
                  <c:v>2006K4</c:v>
                </c:pt>
                <c:pt idx="29">
                  <c:v>2007K1</c:v>
                </c:pt>
                <c:pt idx="30">
                  <c:v>2007K2</c:v>
                </c:pt>
                <c:pt idx="31">
                  <c:v>2007K3</c:v>
                </c:pt>
                <c:pt idx="32">
                  <c:v>2007K4</c:v>
                </c:pt>
                <c:pt idx="33">
                  <c:v>2008K1</c:v>
                </c:pt>
                <c:pt idx="34">
                  <c:v>2008K2</c:v>
                </c:pt>
                <c:pt idx="35">
                  <c:v>2008K3</c:v>
                </c:pt>
                <c:pt idx="36">
                  <c:v>2008K4</c:v>
                </c:pt>
                <c:pt idx="37">
                  <c:v>2009K1</c:v>
                </c:pt>
                <c:pt idx="38">
                  <c:v>2009K2</c:v>
                </c:pt>
                <c:pt idx="39">
                  <c:v>2009K3</c:v>
                </c:pt>
                <c:pt idx="40">
                  <c:v>2009K4</c:v>
                </c:pt>
                <c:pt idx="41">
                  <c:v>2010K1</c:v>
                </c:pt>
                <c:pt idx="42">
                  <c:v>2010K2</c:v>
                </c:pt>
                <c:pt idx="43">
                  <c:v>2010K3</c:v>
                </c:pt>
                <c:pt idx="44">
                  <c:v>2010K4</c:v>
                </c:pt>
                <c:pt idx="45">
                  <c:v>2011K1</c:v>
                </c:pt>
                <c:pt idx="46">
                  <c:v>2011K2</c:v>
                </c:pt>
                <c:pt idx="47">
                  <c:v>2011K3</c:v>
                </c:pt>
                <c:pt idx="48">
                  <c:v>2011K4</c:v>
                </c:pt>
                <c:pt idx="49">
                  <c:v>2012K1</c:v>
                </c:pt>
                <c:pt idx="50">
                  <c:v>2012K2</c:v>
                </c:pt>
                <c:pt idx="51">
                  <c:v>2012K3</c:v>
                </c:pt>
                <c:pt idx="52">
                  <c:v>2012K4</c:v>
                </c:pt>
                <c:pt idx="53">
                  <c:v>2013K1</c:v>
                </c:pt>
                <c:pt idx="54">
                  <c:v>2013K2</c:v>
                </c:pt>
                <c:pt idx="55">
                  <c:v>2013K3</c:v>
                </c:pt>
                <c:pt idx="56">
                  <c:v>2013K4</c:v>
                </c:pt>
                <c:pt idx="57">
                  <c:v>2014K1</c:v>
                </c:pt>
                <c:pt idx="58">
                  <c:v>2014K2</c:v>
                </c:pt>
                <c:pt idx="59">
                  <c:v>2014K3</c:v>
                </c:pt>
                <c:pt idx="60">
                  <c:v>2014K4</c:v>
                </c:pt>
                <c:pt idx="61">
                  <c:v>2015K1</c:v>
                </c:pt>
                <c:pt idx="62">
                  <c:v>2015K2</c:v>
                </c:pt>
                <c:pt idx="63">
                  <c:v>2015K3</c:v>
                </c:pt>
                <c:pt idx="64">
                  <c:v>2015K4</c:v>
                </c:pt>
                <c:pt idx="65">
                  <c:v>2016K1</c:v>
                </c:pt>
                <c:pt idx="66">
                  <c:v>2016K2</c:v>
                </c:pt>
                <c:pt idx="67">
                  <c:v>2016K3</c:v>
                </c:pt>
                <c:pt idx="68">
                  <c:v>2016K4</c:v>
                </c:pt>
                <c:pt idx="69">
                  <c:v>2017K1</c:v>
                </c:pt>
                <c:pt idx="70">
                  <c:v>2017K2</c:v>
                </c:pt>
                <c:pt idx="71">
                  <c:v>2017K3</c:v>
                </c:pt>
                <c:pt idx="72">
                  <c:v>2017K4</c:v>
                </c:pt>
                <c:pt idx="73">
                  <c:v>2018K1</c:v>
                </c:pt>
                <c:pt idx="74">
                  <c:v>2018K2</c:v>
                </c:pt>
                <c:pt idx="75">
                  <c:v>2018K3</c:v>
                </c:pt>
                <c:pt idx="76">
                  <c:v>2018K4</c:v>
                </c:pt>
                <c:pt idx="77">
                  <c:v>2019K1</c:v>
                </c:pt>
                <c:pt idx="78">
                  <c:v>2019K2</c:v>
                </c:pt>
                <c:pt idx="79">
                  <c:v>2019K3</c:v>
                </c:pt>
                <c:pt idx="80">
                  <c:v>2019K4</c:v>
                </c:pt>
                <c:pt idx="81">
                  <c:v>2020K1</c:v>
                </c:pt>
                <c:pt idx="82">
                  <c:v>2020K2</c:v>
                </c:pt>
              </c:strCache>
            </c:strRef>
          </c:cat>
          <c:val>
            <c:numRef>
              <c:f>'NKN1'!$C$8:$C$90</c:f>
              <c:numCache>
                <c:formatCode>General</c:formatCode>
                <c:ptCount val="83"/>
                <c:pt idx="2">
                  <c:v>417.48</c:v>
                </c:pt>
                <c:pt idx="3">
                  <c:v>419.34</c:v>
                </c:pt>
                <c:pt idx="4">
                  <c:v>420.82</c:v>
                </c:pt>
                <c:pt idx="5">
                  <c:v>422.12</c:v>
                </c:pt>
                <c:pt idx="6">
                  <c:v>423.02</c:v>
                </c:pt>
                <c:pt idx="7">
                  <c:v>423.08000000000004</c:v>
                </c:pt>
                <c:pt idx="8">
                  <c:v>424.04000000000008</c:v>
                </c:pt>
                <c:pt idx="9">
                  <c:v>424.88</c:v>
                </c:pt>
                <c:pt idx="10">
                  <c:v>424.68</c:v>
                </c:pt>
                <c:pt idx="11">
                  <c:v>425.12</c:v>
                </c:pt>
                <c:pt idx="12">
                  <c:v>424.78000000000003</c:v>
                </c:pt>
                <c:pt idx="13">
                  <c:v>424.74000000000007</c:v>
                </c:pt>
                <c:pt idx="14">
                  <c:v>425.98</c:v>
                </c:pt>
                <c:pt idx="15">
                  <c:v>427.91999999999996</c:v>
                </c:pt>
                <c:pt idx="16">
                  <c:v>429.91999999999996</c:v>
                </c:pt>
                <c:pt idx="17">
                  <c:v>432.91999999999996</c:v>
                </c:pt>
                <c:pt idx="18">
                  <c:v>436.6</c:v>
                </c:pt>
                <c:pt idx="19">
                  <c:v>438.38</c:v>
                </c:pt>
                <c:pt idx="20">
                  <c:v>441.46000000000004</c:v>
                </c:pt>
                <c:pt idx="21">
                  <c:v>444.12</c:v>
                </c:pt>
                <c:pt idx="22">
                  <c:v>446.88</c:v>
                </c:pt>
                <c:pt idx="23">
                  <c:v>449.82</c:v>
                </c:pt>
                <c:pt idx="24">
                  <c:v>455.8</c:v>
                </c:pt>
                <c:pt idx="25">
                  <c:v>459.43999999999994</c:v>
                </c:pt>
                <c:pt idx="26">
                  <c:v>462.71999999999997</c:v>
                </c:pt>
                <c:pt idx="27">
                  <c:v>466.02</c:v>
                </c:pt>
                <c:pt idx="28">
                  <c:v>467.76000000000005</c:v>
                </c:pt>
                <c:pt idx="29">
                  <c:v>467.64</c:v>
                </c:pt>
                <c:pt idx="30">
                  <c:v>469.1</c:v>
                </c:pt>
                <c:pt idx="31">
                  <c:v>470.78000000000003</c:v>
                </c:pt>
                <c:pt idx="32">
                  <c:v>471.25999999999993</c:v>
                </c:pt>
                <c:pt idx="33">
                  <c:v>471.6</c:v>
                </c:pt>
                <c:pt idx="34">
                  <c:v>468.87999999999994</c:v>
                </c:pt>
                <c:pt idx="35">
                  <c:v>463.9</c:v>
                </c:pt>
                <c:pt idx="36">
                  <c:v>457.21999999999997</c:v>
                </c:pt>
                <c:pt idx="37">
                  <c:v>451.72000000000008</c:v>
                </c:pt>
                <c:pt idx="38">
                  <c:v>446.86</c:v>
                </c:pt>
                <c:pt idx="39">
                  <c:v>444.96000000000004</c:v>
                </c:pt>
                <c:pt idx="40">
                  <c:v>444.9799999999999</c:v>
                </c:pt>
                <c:pt idx="41">
                  <c:v>448.16</c:v>
                </c:pt>
                <c:pt idx="42">
                  <c:v>450.84000000000003</c:v>
                </c:pt>
                <c:pt idx="43">
                  <c:v>453.64</c:v>
                </c:pt>
                <c:pt idx="44">
                  <c:v>456.6</c:v>
                </c:pt>
                <c:pt idx="45">
                  <c:v>457.78000000000003</c:v>
                </c:pt>
                <c:pt idx="46">
                  <c:v>458.3</c:v>
                </c:pt>
                <c:pt idx="47">
                  <c:v>458.94000000000005</c:v>
                </c:pt>
                <c:pt idx="48">
                  <c:v>459.46000000000004</c:v>
                </c:pt>
                <c:pt idx="49">
                  <c:v>459.14000000000004</c:v>
                </c:pt>
                <c:pt idx="50">
                  <c:v>459.84</c:v>
                </c:pt>
                <c:pt idx="51">
                  <c:v>460.3</c:v>
                </c:pt>
                <c:pt idx="52">
                  <c:v>460.9</c:v>
                </c:pt>
                <c:pt idx="53">
                  <c:v>462</c:v>
                </c:pt>
                <c:pt idx="54">
                  <c:v>463.21999999999997</c:v>
                </c:pt>
                <c:pt idx="55">
                  <c:v>464.8</c:v>
                </c:pt>
                <c:pt idx="56">
                  <c:v>465.8</c:v>
                </c:pt>
                <c:pt idx="57">
                  <c:v>468.3</c:v>
                </c:pt>
                <c:pt idx="58">
                  <c:v>470.55999999999995</c:v>
                </c:pt>
                <c:pt idx="59">
                  <c:v>473.28000000000003</c:v>
                </c:pt>
                <c:pt idx="60">
                  <c:v>476.21999999999997</c:v>
                </c:pt>
                <c:pt idx="61">
                  <c:v>479.52</c:v>
                </c:pt>
                <c:pt idx="62">
                  <c:v>481.48</c:v>
                </c:pt>
                <c:pt idx="63">
                  <c:v>484.21999999999997</c:v>
                </c:pt>
                <c:pt idx="64">
                  <c:v>487.62</c:v>
                </c:pt>
                <c:pt idx="65">
                  <c:v>491.41999999999996</c:v>
                </c:pt>
                <c:pt idx="66">
                  <c:v>495.64000000000004</c:v>
                </c:pt>
                <c:pt idx="67">
                  <c:v>500.3</c:v>
                </c:pt>
                <c:pt idx="68">
                  <c:v>504.9799999999999</c:v>
                </c:pt>
                <c:pt idx="69">
                  <c:v>507.95999999999992</c:v>
                </c:pt>
                <c:pt idx="70">
                  <c:v>510.87999999999994</c:v>
                </c:pt>
                <c:pt idx="71">
                  <c:v>513.79999999999995</c:v>
                </c:pt>
                <c:pt idx="72">
                  <c:v>516.37999999999988</c:v>
                </c:pt>
                <c:pt idx="73">
                  <c:v>518.54</c:v>
                </c:pt>
                <c:pt idx="74">
                  <c:v>522.01999999999987</c:v>
                </c:pt>
                <c:pt idx="75">
                  <c:v>525.58000000000004</c:v>
                </c:pt>
                <c:pt idx="76">
                  <c:v>529.36</c:v>
                </c:pt>
                <c:pt idx="77">
                  <c:v>533.16000000000008</c:v>
                </c:pt>
                <c:pt idx="78">
                  <c:v>536.64</c:v>
                </c:pt>
                <c:pt idx="79">
                  <c:v>537.43999999999994</c:v>
                </c:pt>
                <c:pt idx="80">
                  <c:v>530.12</c:v>
                </c:pt>
              </c:numCache>
            </c:numRef>
          </c:val>
          <c:smooth val="0"/>
          <c:extLst>
            <c:ext xmlns:c16="http://schemas.microsoft.com/office/drawing/2014/chart" uri="{C3380CC4-5D6E-409C-BE32-E72D297353CC}">
              <c16:uniqueId val="{00000002-DB86-3748-8742-C29D0973933F}"/>
            </c:ext>
          </c:extLst>
        </c:ser>
        <c:dLbls>
          <c:showLegendKey val="0"/>
          <c:showVal val="0"/>
          <c:showCatName val="0"/>
          <c:showSerName val="0"/>
          <c:showPercent val="0"/>
          <c:showBubbleSize val="0"/>
        </c:dLbls>
        <c:smooth val="0"/>
        <c:axId val="2122684591"/>
        <c:axId val="2008335295"/>
      </c:lineChart>
      <c:catAx>
        <c:axId val="2122684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335295"/>
        <c:crosses val="autoZero"/>
        <c:auto val="1"/>
        <c:lblAlgn val="ctr"/>
        <c:lblOffset val="100"/>
        <c:noMultiLvlLbl val="0"/>
      </c:catAx>
      <c:valAx>
        <c:axId val="2008335295"/>
        <c:scaling>
          <c:orientation val="minMax"/>
          <c:max val="550"/>
          <c:min val="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84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a:t>
            </a:r>
            <a:r>
              <a:rPr lang="en-GB" baseline="0"/>
              <a:t> 3. BNP's afvigelse fra trenden og ændfring ift kvartalet før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9857559351724067E-2"/>
          <c:y val="0.14717847769028872"/>
          <c:w val="0.95287835838701984"/>
          <c:h val="0.55663538083419806"/>
        </c:manualLayout>
      </c:layout>
      <c:barChart>
        <c:barDir val="col"/>
        <c:grouping val="clustered"/>
        <c:varyColors val="0"/>
        <c:ser>
          <c:idx val="1"/>
          <c:order val="1"/>
          <c:tx>
            <c:v>Kvartalvis ædnring</c:v>
          </c:tx>
          <c:spPr>
            <a:solidFill>
              <a:schemeClr val="accent2"/>
            </a:solidFill>
            <a:ln>
              <a:noFill/>
            </a:ln>
            <a:effectLst/>
          </c:spPr>
          <c:invertIfNegative val="0"/>
          <c:cat>
            <c:strRef>
              <c:f>'NKN1'!$A$10:$A$88</c:f>
              <c:strCache>
                <c:ptCount val="79"/>
                <c:pt idx="0">
                  <c:v>2000K2</c:v>
                </c:pt>
                <c:pt idx="1">
                  <c:v>2000K3</c:v>
                </c:pt>
                <c:pt idx="2">
                  <c:v>2000K4</c:v>
                </c:pt>
                <c:pt idx="3">
                  <c:v>2001K1</c:v>
                </c:pt>
                <c:pt idx="4">
                  <c:v>2001K2</c:v>
                </c:pt>
                <c:pt idx="5">
                  <c:v>2001K3</c:v>
                </c:pt>
                <c:pt idx="6">
                  <c:v>2001K4</c:v>
                </c:pt>
                <c:pt idx="7">
                  <c:v>2002K1</c:v>
                </c:pt>
                <c:pt idx="8">
                  <c:v>2002K2</c:v>
                </c:pt>
                <c:pt idx="9">
                  <c:v>2002K3</c:v>
                </c:pt>
                <c:pt idx="10">
                  <c:v>2002K4</c:v>
                </c:pt>
                <c:pt idx="11">
                  <c:v>2003K1</c:v>
                </c:pt>
                <c:pt idx="12">
                  <c:v>2003K2</c:v>
                </c:pt>
                <c:pt idx="13">
                  <c:v>2003K3</c:v>
                </c:pt>
                <c:pt idx="14">
                  <c:v>2003K4</c:v>
                </c:pt>
                <c:pt idx="15">
                  <c:v>2004K1</c:v>
                </c:pt>
                <c:pt idx="16">
                  <c:v>2004K2</c:v>
                </c:pt>
                <c:pt idx="17">
                  <c:v>2004K3</c:v>
                </c:pt>
                <c:pt idx="18">
                  <c:v>2004K4</c:v>
                </c:pt>
                <c:pt idx="19">
                  <c:v>2005K1</c:v>
                </c:pt>
                <c:pt idx="20">
                  <c:v>2005K2</c:v>
                </c:pt>
                <c:pt idx="21">
                  <c:v>2005K3</c:v>
                </c:pt>
                <c:pt idx="22">
                  <c:v>2005K4</c:v>
                </c:pt>
                <c:pt idx="23">
                  <c:v>2006K1</c:v>
                </c:pt>
                <c:pt idx="24">
                  <c:v>2006K2</c:v>
                </c:pt>
                <c:pt idx="25">
                  <c:v>2006K3</c:v>
                </c:pt>
                <c:pt idx="26">
                  <c:v>2006K4</c:v>
                </c:pt>
                <c:pt idx="27">
                  <c:v>2007K1</c:v>
                </c:pt>
                <c:pt idx="28">
                  <c:v>2007K2</c:v>
                </c:pt>
                <c:pt idx="29">
                  <c:v>2007K3</c:v>
                </c:pt>
                <c:pt idx="30">
                  <c:v>2007K4</c:v>
                </c:pt>
                <c:pt idx="31">
                  <c:v>2008K1</c:v>
                </c:pt>
                <c:pt idx="32">
                  <c:v>2008K2</c:v>
                </c:pt>
                <c:pt idx="33">
                  <c:v>2008K3</c:v>
                </c:pt>
                <c:pt idx="34">
                  <c:v>2008K4</c:v>
                </c:pt>
                <c:pt idx="35">
                  <c:v>2009K1</c:v>
                </c:pt>
                <c:pt idx="36">
                  <c:v>2009K2</c:v>
                </c:pt>
                <c:pt idx="37">
                  <c:v>2009K3</c:v>
                </c:pt>
                <c:pt idx="38">
                  <c:v>2009K4</c:v>
                </c:pt>
                <c:pt idx="39">
                  <c:v>2010K1</c:v>
                </c:pt>
                <c:pt idx="40">
                  <c:v>2010K2</c:v>
                </c:pt>
                <c:pt idx="41">
                  <c:v>2010K3</c:v>
                </c:pt>
                <c:pt idx="42">
                  <c:v>2010K4</c:v>
                </c:pt>
                <c:pt idx="43">
                  <c:v>2011K1</c:v>
                </c:pt>
                <c:pt idx="44">
                  <c:v>2011K2</c:v>
                </c:pt>
                <c:pt idx="45">
                  <c:v>2011K3</c:v>
                </c:pt>
                <c:pt idx="46">
                  <c:v>2011K4</c:v>
                </c:pt>
                <c:pt idx="47">
                  <c:v>2012K1</c:v>
                </c:pt>
                <c:pt idx="48">
                  <c:v>2012K2</c:v>
                </c:pt>
                <c:pt idx="49">
                  <c:v>2012K3</c:v>
                </c:pt>
                <c:pt idx="50">
                  <c:v>2012K4</c:v>
                </c:pt>
                <c:pt idx="51">
                  <c:v>2013K1</c:v>
                </c:pt>
                <c:pt idx="52">
                  <c:v>2013K2</c:v>
                </c:pt>
                <c:pt idx="53">
                  <c:v>2013K3</c:v>
                </c:pt>
                <c:pt idx="54">
                  <c:v>2013K4</c:v>
                </c:pt>
                <c:pt idx="55">
                  <c:v>2014K1</c:v>
                </c:pt>
                <c:pt idx="56">
                  <c:v>2014K2</c:v>
                </c:pt>
                <c:pt idx="57">
                  <c:v>2014K3</c:v>
                </c:pt>
                <c:pt idx="58">
                  <c:v>2014K4</c:v>
                </c:pt>
                <c:pt idx="59">
                  <c:v>2015K1</c:v>
                </c:pt>
                <c:pt idx="60">
                  <c:v>2015K2</c:v>
                </c:pt>
                <c:pt idx="61">
                  <c:v>2015K3</c:v>
                </c:pt>
                <c:pt idx="62">
                  <c:v>2015K4</c:v>
                </c:pt>
                <c:pt idx="63">
                  <c:v>2016K1</c:v>
                </c:pt>
                <c:pt idx="64">
                  <c:v>2016K2</c:v>
                </c:pt>
                <c:pt idx="65">
                  <c:v>2016K3</c:v>
                </c:pt>
                <c:pt idx="66">
                  <c:v>2016K4</c:v>
                </c:pt>
                <c:pt idx="67">
                  <c:v>2017K1</c:v>
                </c:pt>
                <c:pt idx="68">
                  <c:v>2017K2</c:v>
                </c:pt>
                <c:pt idx="69">
                  <c:v>2017K3</c:v>
                </c:pt>
                <c:pt idx="70">
                  <c:v>2017K4</c:v>
                </c:pt>
                <c:pt idx="71">
                  <c:v>2018K1</c:v>
                </c:pt>
                <c:pt idx="72">
                  <c:v>2018K2</c:v>
                </c:pt>
                <c:pt idx="73">
                  <c:v>2018K3</c:v>
                </c:pt>
                <c:pt idx="74">
                  <c:v>2018K4</c:v>
                </c:pt>
                <c:pt idx="75">
                  <c:v>2019K1</c:v>
                </c:pt>
                <c:pt idx="76">
                  <c:v>2019K2</c:v>
                </c:pt>
                <c:pt idx="77">
                  <c:v>2019K3</c:v>
                </c:pt>
                <c:pt idx="78">
                  <c:v>2019K4</c:v>
                </c:pt>
              </c:strCache>
            </c:strRef>
          </c:cat>
          <c:val>
            <c:numRef>
              <c:f>'NKN1'!$G$11:$G$88</c:f>
              <c:numCache>
                <c:formatCode>General</c:formatCode>
                <c:ptCount val="78"/>
                <c:pt idx="0">
                  <c:v>0.17502796289399214</c:v>
                </c:pt>
                <c:pt idx="1">
                  <c:v>8.2650037767595386E-2</c:v>
                </c:pt>
                <c:pt idx="2">
                  <c:v>3.8624659799424421E-2</c:v>
                </c:pt>
                <c:pt idx="3">
                  <c:v>-5.7279334175985852E-2</c:v>
                </c:pt>
                <c:pt idx="4">
                  <c:v>-0.25659063908001212</c:v>
                </c:pt>
                <c:pt idx="5">
                  <c:v>-4.3415652712064379E-2</c:v>
                </c:pt>
                <c:pt idx="6">
                  <c:v>-7.2169611100303399E-2</c:v>
                </c:pt>
                <c:pt idx="7">
                  <c:v>-0.31676616691000969</c:v>
                </c:pt>
                <c:pt idx="8">
                  <c:v>-0.16587822447948763</c:v>
                </c:pt>
                <c:pt idx="9">
                  <c:v>-0.34791559047975262</c:v>
                </c:pt>
                <c:pt idx="10">
                  <c:v>-0.27687277416242884</c:v>
                </c:pt>
                <c:pt idx="11">
                  <c:v>2.1294557955486848E-2</c:v>
                </c:pt>
                <c:pt idx="12">
                  <c:v>0.18266003293980759</c:v>
                </c:pt>
                <c:pt idx="13">
                  <c:v>0.19482078181036755</c:v>
                </c:pt>
                <c:pt idx="14">
                  <c:v>0.42351527888923046</c:v>
                </c:pt>
                <c:pt idx="15">
                  <c:v>0.57680338954014809</c:v>
                </c:pt>
                <c:pt idx="16">
                  <c:v>0.13744027044635398</c:v>
                </c:pt>
                <c:pt idx="17">
                  <c:v>0.43315831088379664</c:v>
                </c:pt>
                <c:pt idx="18">
                  <c:v>0.33433587937909959</c:v>
                </c:pt>
                <c:pt idx="19">
                  <c:v>0.354536733598243</c:v>
                </c:pt>
                <c:pt idx="20">
                  <c:v>0.39270591351336925</c:v>
                </c:pt>
                <c:pt idx="21">
                  <c:v>1.0773487642240065</c:v>
                </c:pt>
                <c:pt idx="22">
                  <c:v>0.54303066013963175</c:v>
                </c:pt>
                <c:pt idx="23">
                  <c:v>0.45837688199541482</c:v>
                </c:pt>
                <c:pt idx="24">
                  <c:v>0.45963814576994722</c:v>
                </c:pt>
                <c:pt idx="25">
                  <c:v>0.10739672063730943</c:v>
                </c:pt>
                <c:pt idx="26">
                  <c:v>-0.30894303508561816</c:v>
                </c:pt>
                <c:pt idx="27">
                  <c:v>4.3538986357272158E-2</c:v>
                </c:pt>
                <c:pt idx="28">
                  <c:v>9.1367346747883715E-2</c:v>
                </c:pt>
                <c:pt idx="29">
                  <c:v>-0.17546660635150424</c:v>
                </c:pt>
                <c:pt idx="30">
                  <c:v>-0.20618098786788774</c:v>
                </c:pt>
                <c:pt idx="31">
                  <c:v>-0.87941514450455838</c:v>
                </c:pt>
                <c:pt idx="32">
                  <c:v>-1.3715744683861164</c:v>
                </c:pt>
                <c:pt idx="33">
                  <c:v>-1.7371284475159232</c:v>
                </c:pt>
                <c:pt idx="34">
                  <c:v>-1.4708469792752754</c:v>
                </c:pt>
                <c:pt idx="35">
                  <c:v>-1.324275143741116</c:v>
                </c:pt>
                <c:pt idx="36">
                  <c:v>-0.67501288418391203</c:v>
                </c:pt>
                <c:pt idx="37">
                  <c:v>-0.2562285719930002</c:v>
                </c:pt>
                <c:pt idx="38">
                  <c:v>0.42702765929945041</c:v>
                </c:pt>
                <c:pt idx="39">
                  <c:v>0.31631263872217152</c:v>
                </c:pt>
                <c:pt idx="40">
                  <c:v>0.33968410082512168</c:v>
                </c:pt>
                <c:pt idx="41">
                  <c:v>0.37142822506887052</c:v>
                </c:pt>
                <c:pt idx="42">
                  <c:v>-1.1642803920863809E-2</c:v>
                </c:pt>
                <c:pt idx="43">
                  <c:v>-0.15294317433621751</c:v>
                </c:pt>
                <c:pt idx="44">
                  <c:v>-0.12732547094337354</c:v>
                </c:pt>
                <c:pt idx="45">
                  <c:v>-0.15278426667392209</c:v>
                </c:pt>
                <c:pt idx="46">
                  <c:v>-0.33023684646199536</c:v>
                </c:pt>
                <c:pt idx="47">
                  <c:v>-0.11412790236592363</c:v>
                </c:pt>
                <c:pt idx="48">
                  <c:v>-0.16467839002153317</c:v>
                </c:pt>
                <c:pt idx="49">
                  <c:v>-0.13513932751491042</c:v>
                </c:pt>
                <c:pt idx="50">
                  <c:v>-3.0554685917671964E-2</c:v>
                </c:pt>
                <c:pt idx="51">
                  <c:v>-6.0659312180355585E-3</c:v>
                </c:pt>
                <c:pt idx="52">
                  <c:v>6.8141770498486576E-2</c:v>
                </c:pt>
                <c:pt idx="53">
                  <c:v>-5.3238597893645601E-2</c:v>
                </c:pt>
                <c:pt idx="54">
                  <c:v>0.2566546063567432</c:v>
                </c:pt>
                <c:pt idx="55">
                  <c:v>0.20505250497231398</c:v>
                </c:pt>
                <c:pt idx="56">
                  <c:v>0.29789130400839081</c:v>
                </c:pt>
                <c:pt idx="57">
                  <c:v>0.34072385318117959</c:v>
                </c:pt>
                <c:pt idx="58">
                  <c:v>0.41185258778438927</c:v>
                </c:pt>
                <c:pt idx="59">
                  <c:v>0.1354289464840841</c:v>
                </c:pt>
                <c:pt idx="60">
                  <c:v>0.29275282722425189</c:v>
                </c:pt>
                <c:pt idx="61">
                  <c:v>0.42443928966244826</c:v>
                </c:pt>
                <c:pt idx="62">
                  <c:v>0.50241467077138946</c:v>
                </c:pt>
                <c:pt idx="63">
                  <c:v>0.58378623805028784</c:v>
                </c:pt>
                <c:pt idx="64">
                  <c:v>0.6685139222196268</c:v>
                </c:pt>
                <c:pt idx="65">
                  <c:v>0.66819762942207372</c:v>
                </c:pt>
                <c:pt idx="66">
                  <c:v>0.32339024226872848</c:v>
                </c:pt>
                <c:pt idx="67">
                  <c:v>0.30892476571144911</c:v>
                </c:pt>
                <c:pt idx="68">
                  <c:v>0.30651918840969294</c:v>
                </c:pt>
                <c:pt idx="69">
                  <c:v>0.23657936136609603</c:v>
                </c:pt>
                <c:pt idx="70">
                  <c:v>0.15134651437802571</c:v>
                </c:pt>
                <c:pt idx="71">
                  <c:v>0.41060571092854659</c:v>
                </c:pt>
                <c:pt idx="72">
                  <c:v>0.42340922505794687</c:v>
                </c:pt>
                <c:pt idx="73">
                  <c:v>0.46361207792349202</c:v>
                </c:pt>
                <c:pt idx="74">
                  <c:v>0.46427891304776647</c:v>
                </c:pt>
                <c:pt idx="75">
                  <c:v>0.39846864857866482</c:v>
                </c:pt>
                <c:pt idx="76">
                  <c:v>-0.12688514424177288</c:v>
                </c:pt>
                <c:pt idx="77">
                  <c:v>-1.7056264330389759</c:v>
                </c:pt>
              </c:numCache>
            </c:numRef>
          </c:val>
          <c:extLst>
            <c:ext xmlns:c16="http://schemas.microsoft.com/office/drawing/2014/chart" uri="{C3380CC4-5D6E-409C-BE32-E72D297353CC}">
              <c16:uniqueId val="{00000000-2DFF-154C-976A-22AE213DB4E6}"/>
            </c:ext>
          </c:extLst>
        </c:ser>
        <c:dLbls>
          <c:showLegendKey val="0"/>
          <c:showVal val="0"/>
          <c:showCatName val="0"/>
          <c:showSerName val="0"/>
          <c:showPercent val="0"/>
          <c:showBubbleSize val="0"/>
        </c:dLbls>
        <c:gapWidth val="150"/>
        <c:axId val="2116056191"/>
        <c:axId val="245522384"/>
      </c:barChart>
      <c:lineChart>
        <c:grouping val="standard"/>
        <c:varyColors val="0"/>
        <c:ser>
          <c:idx val="0"/>
          <c:order val="0"/>
          <c:tx>
            <c:v>Afvigelse fra trenden</c:v>
          </c:tx>
          <c:spPr>
            <a:ln w="28575" cap="rnd">
              <a:solidFill>
                <a:schemeClr val="accent1"/>
              </a:solidFill>
              <a:round/>
            </a:ln>
            <a:effectLst/>
          </c:spPr>
          <c:marker>
            <c:symbol val="none"/>
          </c:marker>
          <c:cat>
            <c:strRef>
              <c:f>'NKN1'!$A$10:$A$88</c:f>
              <c:strCache>
                <c:ptCount val="79"/>
                <c:pt idx="0">
                  <c:v>2000K2</c:v>
                </c:pt>
                <c:pt idx="1">
                  <c:v>2000K3</c:v>
                </c:pt>
                <c:pt idx="2">
                  <c:v>2000K4</c:v>
                </c:pt>
                <c:pt idx="3">
                  <c:v>2001K1</c:v>
                </c:pt>
                <c:pt idx="4">
                  <c:v>2001K2</c:v>
                </c:pt>
                <c:pt idx="5">
                  <c:v>2001K3</c:v>
                </c:pt>
                <c:pt idx="6">
                  <c:v>2001K4</c:v>
                </c:pt>
                <c:pt idx="7">
                  <c:v>2002K1</c:v>
                </c:pt>
                <c:pt idx="8">
                  <c:v>2002K2</c:v>
                </c:pt>
                <c:pt idx="9">
                  <c:v>2002K3</c:v>
                </c:pt>
                <c:pt idx="10">
                  <c:v>2002K4</c:v>
                </c:pt>
                <c:pt idx="11">
                  <c:v>2003K1</c:v>
                </c:pt>
                <c:pt idx="12">
                  <c:v>2003K2</c:v>
                </c:pt>
                <c:pt idx="13">
                  <c:v>2003K3</c:v>
                </c:pt>
                <c:pt idx="14">
                  <c:v>2003K4</c:v>
                </c:pt>
                <c:pt idx="15">
                  <c:v>2004K1</c:v>
                </c:pt>
                <c:pt idx="16">
                  <c:v>2004K2</c:v>
                </c:pt>
                <c:pt idx="17">
                  <c:v>2004K3</c:v>
                </c:pt>
                <c:pt idx="18">
                  <c:v>2004K4</c:v>
                </c:pt>
                <c:pt idx="19">
                  <c:v>2005K1</c:v>
                </c:pt>
                <c:pt idx="20">
                  <c:v>2005K2</c:v>
                </c:pt>
                <c:pt idx="21">
                  <c:v>2005K3</c:v>
                </c:pt>
                <c:pt idx="22">
                  <c:v>2005K4</c:v>
                </c:pt>
                <c:pt idx="23">
                  <c:v>2006K1</c:v>
                </c:pt>
                <c:pt idx="24">
                  <c:v>2006K2</c:v>
                </c:pt>
                <c:pt idx="25">
                  <c:v>2006K3</c:v>
                </c:pt>
                <c:pt idx="26">
                  <c:v>2006K4</c:v>
                </c:pt>
                <c:pt idx="27">
                  <c:v>2007K1</c:v>
                </c:pt>
                <c:pt idx="28">
                  <c:v>2007K2</c:v>
                </c:pt>
                <c:pt idx="29">
                  <c:v>2007K3</c:v>
                </c:pt>
                <c:pt idx="30">
                  <c:v>2007K4</c:v>
                </c:pt>
                <c:pt idx="31">
                  <c:v>2008K1</c:v>
                </c:pt>
                <c:pt idx="32">
                  <c:v>2008K2</c:v>
                </c:pt>
                <c:pt idx="33">
                  <c:v>2008K3</c:v>
                </c:pt>
                <c:pt idx="34">
                  <c:v>2008K4</c:v>
                </c:pt>
                <c:pt idx="35">
                  <c:v>2009K1</c:v>
                </c:pt>
                <c:pt idx="36">
                  <c:v>2009K2</c:v>
                </c:pt>
                <c:pt idx="37">
                  <c:v>2009K3</c:v>
                </c:pt>
                <c:pt idx="38">
                  <c:v>2009K4</c:v>
                </c:pt>
                <c:pt idx="39">
                  <c:v>2010K1</c:v>
                </c:pt>
                <c:pt idx="40">
                  <c:v>2010K2</c:v>
                </c:pt>
                <c:pt idx="41">
                  <c:v>2010K3</c:v>
                </c:pt>
                <c:pt idx="42">
                  <c:v>2010K4</c:v>
                </c:pt>
                <c:pt idx="43">
                  <c:v>2011K1</c:v>
                </c:pt>
                <c:pt idx="44">
                  <c:v>2011K2</c:v>
                </c:pt>
                <c:pt idx="45">
                  <c:v>2011K3</c:v>
                </c:pt>
                <c:pt idx="46">
                  <c:v>2011K4</c:v>
                </c:pt>
                <c:pt idx="47">
                  <c:v>2012K1</c:v>
                </c:pt>
                <c:pt idx="48">
                  <c:v>2012K2</c:v>
                </c:pt>
                <c:pt idx="49">
                  <c:v>2012K3</c:v>
                </c:pt>
                <c:pt idx="50">
                  <c:v>2012K4</c:v>
                </c:pt>
                <c:pt idx="51">
                  <c:v>2013K1</c:v>
                </c:pt>
                <c:pt idx="52">
                  <c:v>2013K2</c:v>
                </c:pt>
                <c:pt idx="53">
                  <c:v>2013K3</c:v>
                </c:pt>
                <c:pt idx="54">
                  <c:v>2013K4</c:v>
                </c:pt>
                <c:pt idx="55">
                  <c:v>2014K1</c:v>
                </c:pt>
                <c:pt idx="56">
                  <c:v>2014K2</c:v>
                </c:pt>
                <c:pt idx="57">
                  <c:v>2014K3</c:v>
                </c:pt>
                <c:pt idx="58">
                  <c:v>2014K4</c:v>
                </c:pt>
                <c:pt idx="59">
                  <c:v>2015K1</c:v>
                </c:pt>
                <c:pt idx="60">
                  <c:v>2015K2</c:v>
                </c:pt>
                <c:pt idx="61">
                  <c:v>2015K3</c:v>
                </c:pt>
                <c:pt idx="62">
                  <c:v>2015K4</c:v>
                </c:pt>
                <c:pt idx="63">
                  <c:v>2016K1</c:v>
                </c:pt>
                <c:pt idx="64">
                  <c:v>2016K2</c:v>
                </c:pt>
                <c:pt idx="65">
                  <c:v>2016K3</c:v>
                </c:pt>
                <c:pt idx="66">
                  <c:v>2016K4</c:v>
                </c:pt>
                <c:pt idx="67">
                  <c:v>2017K1</c:v>
                </c:pt>
                <c:pt idx="68">
                  <c:v>2017K2</c:v>
                </c:pt>
                <c:pt idx="69">
                  <c:v>2017K3</c:v>
                </c:pt>
                <c:pt idx="70">
                  <c:v>2017K4</c:v>
                </c:pt>
                <c:pt idx="71">
                  <c:v>2018K1</c:v>
                </c:pt>
                <c:pt idx="72">
                  <c:v>2018K2</c:v>
                </c:pt>
                <c:pt idx="73">
                  <c:v>2018K3</c:v>
                </c:pt>
                <c:pt idx="74">
                  <c:v>2018K4</c:v>
                </c:pt>
                <c:pt idx="75">
                  <c:v>2019K1</c:v>
                </c:pt>
                <c:pt idx="76">
                  <c:v>2019K2</c:v>
                </c:pt>
                <c:pt idx="77">
                  <c:v>2019K3</c:v>
                </c:pt>
                <c:pt idx="78">
                  <c:v>2019K4</c:v>
                </c:pt>
              </c:strCache>
            </c:strRef>
          </c:cat>
          <c:val>
            <c:numRef>
              <c:f>'NKN1'!$F$10:$F$88</c:f>
              <c:numCache>
                <c:formatCode>General</c:formatCode>
                <c:ptCount val="79"/>
                <c:pt idx="0">
                  <c:v>0.19163614838231258</c:v>
                </c:pt>
                <c:pt idx="1">
                  <c:v>0.36666411127630472</c:v>
                </c:pt>
                <c:pt idx="2">
                  <c:v>0.4493141490439001</c:v>
                </c:pt>
                <c:pt idx="3">
                  <c:v>0.48793880884332452</c:v>
                </c:pt>
                <c:pt idx="4">
                  <c:v>0.43065947466733867</c:v>
                </c:pt>
                <c:pt idx="5">
                  <c:v>0.17406883558732655</c:v>
                </c:pt>
                <c:pt idx="6">
                  <c:v>0.13065318287526217</c:v>
                </c:pt>
                <c:pt idx="7">
                  <c:v>5.8483571774958776E-2</c:v>
                </c:pt>
                <c:pt idx="8">
                  <c:v>-0.25828259513505092</c:v>
                </c:pt>
                <c:pt idx="9">
                  <c:v>-0.42416081961453855</c:v>
                </c:pt>
                <c:pt idx="10">
                  <c:v>-0.77207641009429118</c:v>
                </c:pt>
                <c:pt idx="11">
                  <c:v>-1.04894918425672</c:v>
                </c:pt>
                <c:pt idx="12">
                  <c:v>-1.0276546263012332</c:v>
                </c:pt>
                <c:pt idx="13">
                  <c:v>-0.84499459336142557</c:v>
                </c:pt>
                <c:pt idx="14">
                  <c:v>-0.65017381155105802</c:v>
                </c:pt>
                <c:pt idx="15">
                  <c:v>-0.22665853266182756</c:v>
                </c:pt>
                <c:pt idx="16">
                  <c:v>0.35014485687832053</c:v>
                </c:pt>
                <c:pt idx="17">
                  <c:v>0.48758512732467452</c:v>
                </c:pt>
                <c:pt idx="18">
                  <c:v>0.92074343820847115</c:v>
                </c:pt>
                <c:pt idx="19">
                  <c:v>1.2550793175875707</c:v>
                </c:pt>
                <c:pt idx="20">
                  <c:v>1.6096160511858137</c:v>
                </c:pt>
                <c:pt idx="21">
                  <c:v>2.002321964699183</c:v>
                </c:pt>
                <c:pt idx="22">
                  <c:v>3.0796707289231895</c:v>
                </c:pt>
                <c:pt idx="23">
                  <c:v>3.6227013890628212</c:v>
                </c:pt>
                <c:pt idx="24">
                  <c:v>4.0810782710582361</c:v>
                </c:pt>
                <c:pt idx="25">
                  <c:v>4.5407164168281833</c:v>
                </c:pt>
                <c:pt idx="26">
                  <c:v>4.6481131374654927</c:v>
                </c:pt>
                <c:pt idx="27">
                  <c:v>4.3391701023798745</c:v>
                </c:pt>
                <c:pt idx="28">
                  <c:v>4.3827090887371467</c:v>
                </c:pt>
                <c:pt idx="29">
                  <c:v>4.4740764354850304</c:v>
                </c:pt>
                <c:pt idx="30">
                  <c:v>4.2986098291335262</c:v>
                </c:pt>
                <c:pt idx="31">
                  <c:v>4.0924288412656384</c:v>
                </c:pt>
                <c:pt idx="32">
                  <c:v>3.2130136967610801</c:v>
                </c:pt>
                <c:pt idx="33">
                  <c:v>1.8414392283749637</c:v>
                </c:pt>
                <c:pt idx="34">
                  <c:v>0.10431078085904044</c:v>
                </c:pt>
                <c:pt idx="35">
                  <c:v>-1.366536198416235</c:v>
                </c:pt>
                <c:pt idx="36">
                  <c:v>-2.690811342157351</c:v>
                </c:pt>
                <c:pt idx="37">
                  <c:v>-3.365824226341263</c:v>
                </c:pt>
                <c:pt idx="38">
                  <c:v>-3.6220527983342632</c:v>
                </c:pt>
                <c:pt idx="39">
                  <c:v>-3.1950251390348128</c:v>
                </c:pt>
                <c:pt idx="40">
                  <c:v>-2.8787125003126413</c:v>
                </c:pt>
                <c:pt idx="41">
                  <c:v>-2.5390283994875196</c:v>
                </c:pt>
                <c:pt idx="42">
                  <c:v>-2.1676001744186491</c:v>
                </c:pt>
                <c:pt idx="43">
                  <c:v>-2.1792429783395129</c:v>
                </c:pt>
                <c:pt idx="44">
                  <c:v>-2.3321861526757304</c:v>
                </c:pt>
                <c:pt idx="45">
                  <c:v>-2.4595116236191039</c:v>
                </c:pt>
                <c:pt idx="46">
                  <c:v>-2.612295890293026</c:v>
                </c:pt>
                <c:pt idx="47">
                  <c:v>-2.9425327367550214</c:v>
                </c:pt>
                <c:pt idx="48">
                  <c:v>-3.056660639120945</c:v>
                </c:pt>
                <c:pt idx="49">
                  <c:v>-3.2213390291424782</c:v>
                </c:pt>
                <c:pt idx="50">
                  <c:v>-3.3564783566573886</c:v>
                </c:pt>
                <c:pt idx="51">
                  <c:v>-3.3870330425750605</c:v>
                </c:pt>
                <c:pt idx="52">
                  <c:v>-3.3930989737930961</c:v>
                </c:pt>
                <c:pt idx="53">
                  <c:v>-3.3249572032946095</c:v>
                </c:pt>
                <c:pt idx="54">
                  <c:v>-3.3781958011882551</c:v>
                </c:pt>
                <c:pt idx="55">
                  <c:v>-3.1215411948315119</c:v>
                </c:pt>
                <c:pt idx="56">
                  <c:v>-2.916488689859198</c:v>
                </c:pt>
                <c:pt idx="57">
                  <c:v>-2.6185973858508071</c:v>
                </c:pt>
                <c:pt idx="58">
                  <c:v>-2.2778735326696276</c:v>
                </c:pt>
                <c:pt idx="59">
                  <c:v>-1.8660209448852383</c:v>
                </c:pt>
                <c:pt idx="60">
                  <c:v>-1.7305919984011542</c:v>
                </c:pt>
                <c:pt idx="61">
                  <c:v>-1.4378391711769023</c:v>
                </c:pt>
                <c:pt idx="62">
                  <c:v>-1.013399881514454</c:v>
                </c:pt>
                <c:pt idx="63">
                  <c:v>-0.51098521074306458</c:v>
                </c:pt>
                <c:pt idx="64">
                  <c:v>7.2801027307223265E-2</c:v>
                </c:pt>
                <c:pt idx="65">
                  <c:v>0.74131494952685006</c:v>
                </c:pt>
                <c:pt idx="66">
                  <c:v>1.4095125789489238</c:v>
                </c:pt>
                <c:pt idx="67">
                  <c:v>1.7329028212176523</c:v>
                </c:pt>
                <c:pt idx="68">
                  <c:v>2.0418275869291014</c:v>
                </c:pt>
                <c:pt idx="69">
                  <c:v>2.3483467753387943</c:v>
                </c:pt>
                <c:pt idx="70">
                  <c:v>2.5849261367048904</c:v>
                </c:pt>
                <c:pt idx="71">
                  <c:v>2.7362726510829161</c:v>
                </c:pt>
                <c:pt idx="72">
                  <c:v>3.1468783620114626</c:v>
                </c:pt>
                <c:pt idx="73">
                  <c:v>3.5702875870694095</c:v>
                </c:pt>
                <c:pt idx="74">
                  <c:v>4.0338996649929015</c:v>
                </c:pt>
                <c:pt idx="75">
                  <c:v>4.498178578040668</c:v>
                </c:pt>
                <c:pt idx="76">
                  <c:v>4.8966472266193328</c:v>
                </c:pt>
                <c:pt idx="77">
                  <c:v>4.7697620823775599</c:v>
                </c:pt>
                <c:pt idx="78">
                  <c:v>3.0641356493385841</c:v>
                </c:pt>
              </c:numCache>
            </c:numRef>
          </c:val>
          <c:smooth val="0"/>
          <c:extLst>
            <c:ext xmlns:c16="http://schemas.microsoft.com/office/drawing/2014/chart" uri="{C3380CC4-5D6E-409C-BE32-E72D297353CC}">
              <c16:uniqueId val="{00000001-2DFF-154C-976A-22AE213DB4E6}"/>
            </c:ext>
          </c:extLst>
        </c:ser>
        <c:dLbls>
          <c:showLegendKey val="0"/>
          <c:showVal val="0"/>
          <c:showCatName val="0"/>
          <c:showSerName val="0"/>
          <c:showPercent val="0"/>
          <c:showBubbleSize val="0"/>
        </c:dLbls>
        <c:marker val="1"/>
        <c:smooth val="0"/>
        <c:axId val="2116056191"/>
        <c:axId val="245522384"/>
      </c:lineChart>
      <c:catAx>
        <c:axId val="2116056191"/>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522384"/>
        <c:crosses val="autoZero"/>
        <c:auto val="1"/>
        <c:lblAlgn val="ctr"/>
        <c:lblOffset val="100"/>
        <c:noMultiLvlLbl val="0"/>
      </c:catAx>
      <c:valAx>
        <c:axId val="24552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056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0.02276</cdr:x>
      <cdr:y>0.78833</cdr:y>
    </cdr:from>
    <cdr:to>
      <cdr:x>0.34183</cdr:x>
      <cdr:y>0.93416</cdr:y>
    </cdr:to>
    <cdr:sp macro="" textlink="">
      <cdr:nvSpPr>
        <cdr:cNvPr id="2" name="TextBox 1">
          <a:extLst xmlns:a="http://schemas.openxmlformats.org/drawingml/2006/main">
            <a:ext uri="{FF2B5EF4-FFF2-40B4-BE49-F238E27FC236}">
              <a16:creationId xmlns:a16="http://schemas.microsoft.com/office/drawing/2014/main" id="{1D9AE815-7C72-0B45-A264-82327C0B874D}"/>
            </a:ext>
          </a:extLst>
        </cdr:cNvPr>
        <cdr:cNvSpPr txBox="1"/>
      </cdr:nvSpPr>
      <cdr:spPr>
        <a:xfrm xmlns:a="http://schemas.openxmlformats.org/drawingml/2006/main">
          <a:off x="135075" y="2432854"/>
          <a:ext cx="1893588" cy="45004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a:t>
          </a:r>
        </a:p>
        <a:p xmlns:a="http://schemas.openxmlformats.org/drawingml/2006/main">
          <a:r>
            <a:rPr lang="en-GB" sz="800" i="1"/>
            <a:t>Kilde:statistikbanken</a:t>
          </a:r>
          <a:r>
            <a:rPr lang="en-GB" sz="800" i="1" baseline="0"/>
            <a:t>.dk NAN!</a:t>
          </a:r>
          <a:endParaRPr lang="en-GB" sz="1100" i="1"/>
        </a:p>
      </cdr:txBody>
    </cdr:sp>
  </cdr:relSizeAnchor>
</c:userShapes>
</file>

<file path=word/drawings/drawing2.xml><?xml version="1.0" encoding="utf-8"?>
<c:userShapes xmlns:c="http://schemas.openxmlformats.org/drawingml/2006/chart">
  <cdr:relSizeAnchor xmlns:cdr="http://schemas.openxmlformats.org/drawingml/2006/chartDrawing">
    <cdr:from>
      <cdr:x>0.0256</cdr:x>
      <cdr:y>0.92918</cdr:y>
    </cdr:from>
    <cdr:to>
      <cdr:x>0.248</cdr:x>
      <cdr:y>1</cdr:y>
    </cdr:to>
    <cdr:sp macro="" textlink="">
      <cdr:nvSpPr>
        <cdr:cNvPr id="2" name="TextBox 1">
          <a:extLst xmlns:a="http://schemas.openxmlformats.org/drawingml/2006/main">
            <a:ext uri="{FF2B5EF4-FFF2-40B4-BE49-F238E27FC236}">
              <a16:creationId xmlns:a16="http://schemas.microsoft.com/office/drawing/2014/main" id="{282246AC-C5B8-5E48-B2BD-DACD17F5FB19}"/>
            </a:ext>
          </a:extLst>
        </cdr:cNvPr>
        <cdr:cNvSpPr txBox="1"/>
      </cdr:nvSpPr>
      <cdr:spPr>
        <a:xfrm xmlns:a="http://schemas.openxmlformats.org/drawingml/2006/main">
          <a:off x="203200" y="4165600"/>
          <a:ext cx="1765300" cy="317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Kilde:Statistikbanken, NKN1</a:t>
          </a:r>
        </a:p>
      </cdr:txBody>
    </cdr:sp>
  </cdr:relSizeAnchor>
  <cdr:relSizeAnchor xmlns:cdr="http://schemas.openxmlformats.org/drawingml/2006/chartDrawing">
    <cdr:from>
      <cdr:x>0.00886</cdr:x>
      <cdr:y>0.09415</cdr:y>
    </cdr:from>
    <cdr:to>
      <cdr:x>0.31243</cdr:x>
      <cdr:y>0.15692</cdr:y>
    </cdr:to>
    <cdr:sp macro="" textlink="">
      <cdr:nvSpPr>
        <cdr:cNvPr id="3" name="TextBox 7">
          <a:extLst xmlns:a="http://schemas.openxmlformats.org/drawingml/2006/main">
            <a:ext uri="{FF2B5EF4-FFF2-40B4-BE49-F238E27FC236}">
              <a16:creationId xmlns:a16="http://schemas.microsoft.com/office/drawing/2014/main" id="{7E902532-B8A6-7E43-98AE-B4AE6377779F}"/>
            </a:ext>
          </a:extLst>
        </cdr:cNvPr>
        <cdr:cNvSpPr txBox="1"/>
      </cdr:nvSpPr>
      <cdr:spPr>
        <a:xfrm xmlns:a="http://schemas.openxmlformats.org/drawingml/2006/main">
          <a:off x="50800" y="304800"/>
          <a:ext cx="1739900" cy="203200"/>
        </a:xfrm>
        <a:prstGeom xmlns:a="http://schemas.openxmlformats.org/drawingml/2006/main" prst="rect">
          <a:avLst/>
        </a:prstGeom>
        <a:solidFill xmlns:a="http://schemas.openxmlformats.org/drawingml/2006/main">
          <a:schemeClr val="lt1"/>
        </a:solidFill>
        <a:ln xmlns:a="http://schemas.openxmlformats.org/drawingml/2006/main" w="9525" cmpd="sng">
          <a:solidFill>
            <a:schemeClr val="lt1">
              <a:shade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GB" sz="800"/>
            <a:t>Mia</a:t>
          </a:r>
          <a:r>
            <a:rPr lang="en-GB" sz="800" baseline="0"/>
            <a:t>. kr kædede-værdier</a:t>
          </a:r>
          <a:endParaRPr lang="en-GB" sz="800"/>
        </a:p>
      </cdr:txBody>
    </cdr:sp>
  </cdr:relSizeAnchor>
</c:userShapes>
</file>

<file path=word/drawings/drawing3.xml><?xml version="1.0" encoding="utf-8"?>
<c:userShapes xmlns:c="http://schemas.openxmlformats.org/drawingml/2006/chart">
  <cdr:relSizeAnchor xmlns:cdr="http://schemas.openxmlformats.org/drawingml/2006/chartDrawing">
    <cdr:from>
      <cdr:x>0.02182</cdr:x>
      <cdr:y>0.91204</cdr:y>
    </cdr:from>
    <cdr:to>
      <cdr:x>0.27476</cdr:x>
      <cdr:y>1</cdr:y>
    </cdr:to>
    <cdr:sp macro="" textlink="">
      <cdr:nvSpPr>
        <cdr:cNvPr id="2" name="TextBox 1">
          <a:extLst xmlns:a="http://schemas.openxmlformats.org/drawingml/2006/main">
            <a:ext uri="{FF2B5EF4-FFF2-40B4-BE49-F238E27FC236}">
              <a16:creationId xmlns:a16="http://schemas.microsoft.com/office/drawing/2014/main" id="{13625281-33F3-894C-9EE9-A8BA52B796B8}"/>
            </a:ext>
          </a:extLst>
        </cdr:cNvPr>
        <cdr:cNvSpPr txBox="1"/>
      </cdr:nvSpPr>
      <cdr:spPr>
        <a:xfrm xmlns:a="http://schemas.openxmlformats.org/drawingml/2006/main">
          <a:off x="125062" y="2501900"/>
          <a:ext cx="1449738" cy="241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GB" sz="800" i="1"/>
            <a:t>Kilde:Statistikbanken, NKN1</a:t>
          </a:r>
        </a:p>
        <a:p xmlns:a="http://schemas.openxmlformats.org/drawingml/2006/main">
          <a:endParaRPr lang="en-GB" sz="1100"/>
        </a:p>
      </cdr:txBody>
    </cdr:sp>
  </cdr:relSizeAnchor>
  <cdr:relSizeAnchor xmlns:cdr="http://schemas.openxmlformats.org/drawingml/2006/chartDrawing">
    <cdr:from>
      <cdr:x>0.01697</cdr:x>
      <cdr:y>4.81444E-7</cdr:y>
    </cdr:from>
    <cdr:to>
      <cdr:x>0.1684</cdr:x>
      <cdr:y>0.14063</cdr:y>
    </cdr:to>
    <cdr:sp macro="" textlink="">
      <cdr:nvSpPr>
        <cdr:cNvPr id="3" name="TextBox 2">
          <a:extLst xmlns:a="http://schemas.openxmlformats.org/drawingml/2006/main">
            <a:ext uri="{FF2B5EF4-FFF2-40B4-BE49-F238E27FC236}">
              <a16:creationId xmlns:a16="http://schemas.microsoft.com/office/drawing/2014/main" id="{D25E6AA2-1DA8-EE49-B5C1-F7FD65483729}"/>
            </a:ext>
          </a:extLst>
        </cdr:cNvPr>
        <cdr:cNvSpPr txBox="1"/>
      </cdr:nvSpPr>
      <cdr:spPr>
        <a:xfrm xmlns:a="http://schemas.openxmlformats.org/drawingml/2006/main">
          <a:off x="97264" y="1"/>
          <a:ext cx="867935" cy="292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a:t>Målt i procent</a:t>
          </a:r>
        </a:p>
      </cdr:txBody>
    </cdr:sp>
  </cdr:relSizeAnchor>
  <cdr:relSizeAnchor xmlns:cdr="http://schemas.openxmlformats.org/drawingml/2006/chartDrawing">
    <cdr:from>
      <cdr:x>0.16765</cdr:x>
      <cdr:y>0.47467</cdr:y>
    </cdr:from>
    <cdr:to>
      <cdr:x>0.19795</cdr:x>
      <cdr:y>0.5449</cdr:y>
    </cdr:to>
    <cdr:sp macro="" textlink="">
      <cdr:nvSpPr>
        <cdr:cNvPr id="7" name="Oval 6">
          <a:extLst xmlns:a="http://schemas.openxmlformats.org/drawingml/2006/main">
            <a:ext uri="{FF2B5EF4-FFF2-40B4-BE49-F238E27FC236}">
              <a16:creationId xmlns:a16="http://schemas.microsoft.com/office/drawing/2014/main" id="{F94C7267-A084-2041-9287-DB5FECD10E18}"/>
            </a:ext>
          </a:extLst>
        </cdr:cNvPr>
        <cdr:cNvSpPr/>
      </cdr:nvSpPr>
      <cdr:spPr>
        <a:xfrm xmlns:a="http://schemas.openxmlformats.org/drawingml/2006/main">
          <a:off x="960906" y="1302123"/>
          <a:ext cx="173665" cy="192655"/>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0.3325</cdr:x>
      <cdr:y>0.18523</cdr:y>
    </cdr:from>
    <cdr:to>
      <cdr:x>0.36159</cdr:x>
      <cdr:y>0.25547</cdr:y>
    </cdr:to>
    <cdr:sp macro="" textlink="">
      <cdr:nvSpPr>
        <cdr:cNvPr id="8" name="Oval 7">
          <a:extLst xmlns:a="http://schemas.openxmlformats.org/drawingml/2006/main">
            <a:ext uri="{FF2B5EF4-FFF2-40B4-BE49-F238E27FC236}">
              <a16:creationId xmlns:a16="http://schemas.microsoft.com/office/drawing/2014/main" id="{17047D9A-7E02-6A48-80DF-386E806F8D52}"/>
            </a:ext>
          </a:extLst>
        </cdr:cNvPr>
        <cdr:cNvSpPr/>
      </cdr:nvSpPr>
      <cdr:spPr>
        <a:xfrm xmlns:a="http://schemas.openxmlformats.org/drawingml/2006/main">
          <a:off x="1905746" y="508122"/>
          <a:ext cx="166730" cy="192682"/>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0.40201</cdr:x>
      <cdr:y>0.20505</cdr:y>
    </cdr:from>
    <cdr:to>
      <cdr:x>0.42544</cdr:x>
      <cdr:y>0.25926</cdr:y>
    </cdr:to>
    <cdr:sp macro="" textlink="">
      <cdr:nvSpPr>
        <cdr:cNvPr id="9" name="Oval 8">
          <a:extLst xmlns:a="http://schemas.openxmlformats.org/drawingml/2006/main">
            <a:ext uri="{FF2B5EF4-FFF2-40B4-BE49-F238E27FC236}">
              <a16:creationId xmlns:a16="http://schemas.microsoft.com/office/drawing/2014/main" id="{98863637-F995-4144-BFE5-B391CF2E4048}"/>
            </a:ext>
          </a:extLst>
        </cdr:cNvPr>
        <cdr:cNvSpPr/>
      </cdr:nvSpPr>
      <cdr:spPr>
        <a:xfrm xmlns:a="http://schemas.openxmlformats.org/drawingml/2006/main" flipH="1" flipV="1">
          <a:off x="2304134" y="562500"/>
          <a:ext cx="134266" cy="148700"/>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0.48886</cdr:x>
      <cdr:y>0.59405</cdr:y>
    </cdr:from>
    <cdr:to>
      <cdr:x>0.51674</cdr:x>
      <cdr:y>0.66763</cdr:y>
    </cdr:to>
    <cdr:sp macro="" textlink="">
      <cdr:nvSpPr>
        <cdr:cNvPr id="10" name="Oval 9">
          <a:extLst xmlns:a="http://schemas.openxmlformats.org/drawingml/2006/main">
            <a:ext uri="{FF2B5EF4-FFF2-40B4-BE49-F238E27FC236}">
              <a16:creationId xmlns:a16="http://schemas.microsoft.com/office/drawing/2014/main" id="{9E7E8B00-912E-0747-9168-9A5D81EFB830}"/>
            </a:ext>
          </a:extLst>
        </cdr:cNvPr>
        <cdr:cNvSpPr/>
      </cdr:nvSpPr>
      <cdr:spPr>
        <a:xfrm xmlns:a="http://schemas.openxmlformats.org/drawingml/2006/main">
          <a:off x="2801925" y="1629585"/>
          <a:ext cx="159794" cy="201844"/>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0.54241</cdr:x>
      <cdr:y>0.51379</cdr:y>
    </cdr:from>
    <cdr:to>
      <cdr:x>0.5715</cdr:x>
      <cdr:y>0.58736</cdr:y>
    </cdr:to>
    <cdr:sp macro="" textlink="">
      <cdr:nvSpPr>
        <cdr:cNvPr id="11" name="Oval 10">
          <a:extLst xmlns:a="http://schemas.openxmlformats.org/drawingml/2006/main">
            <a:ext uri="{FF2B5EF4-FFF2-40B4-BE49-F238E27FC236}">
              <a16:creationId xmlns:a16="http://schemas.microsoft.com/office/drawing/2014/main" id="{D7F43BD8-7DBA-E343-9677-B49548267B37}"/>
            </a:ext>
          </a:extLst>
        </cdr:cNvPr>
        <cdr:cNvSpPr/>
      </cdr:nvSpPr>
      <cdr:spPr>
        <a:xfrm xmlns:a="http://schemas.openxmlformats.org/drawingml/2006/main">
          <a:off x="3108814" y="1409416"/>
          <a:ext cx="166729" cy="201817"/>
        </a:xfrm>
        <a:prstGeom xmlns:a="http://schemas.openxmlformats.org/drawingml/2006/main" prst="ellipse">
          <a:avLst/>
        </a:prstGeom>
        <a:noFill xmlns:a="http://schemas.openxmlformats.org/drawingml/2006/main"/>
        <a:ln xmlns:a="http://schemas.openxmlformats.org/drawingml/2006/main">
          <a:solidFill>
            <a:srgbClr val="FF0000"/>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0.67695</cdr:x>
      <cdr:y>0.60202</cdr:y>
    </cdr:from>
    <cdr:to>
      <cdr:x>0.70726</cdr:x>
      <cdr:y>0.65553</cdr:y>
    </cdr:to>
    <cdr:sp macro="" textlink="">
      <cdr:nvSpPr>
        <cdr:cNvPr id="12" name="Oval 11">
          <a:extLst xmlns:a="http://schemas.openxmlformats.org/drawingml/2006/main">
            <a:ext uri="{FF2B5EF4-FFF2-40B4-BE49-F238E27FC236}">
              <a16:creationId xmlns:a16="http://schemas.microsoft.com/office/drawing/2014/main" id="{11A4F238-44C9-2D44-A7BB-8AA3833178E8}"/>
            </a:ext>
          </a:extLst>
        </cdr:cNvPr>
        <cdr:cNvSpPr/>
      </cdr:nvSpPr>
      <cdr:spPr>
        <a:xfrm xmlns:a="http://schemas.openxmlformats.org/drawingml/2006/main">
          <a:off x="3879931" y="1651474"/>
          <a:ext cx="173722" cy="146789"/>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0.94362</cdr:x>
      <cdr:y>0.18497</cdr:y>
    </cdr:from>
    <cdr:to>
      <cdr:x>0.98241</cdr:x>
      <cdr:y>0.24852</cdr:y>
    </cdr:to>
    <cdr:sp macro="" textlink="">
      <cdr:nvSpPr>
        <cdr:cNvPr id="13" name="Oval 12">
          <a:extLst xmlns:a="http://schemas.openxmlformats.org/drawingml/2006/main">
            <a:ext uri="{FF2B5EF4-FFF2-40B4-BE49-F238E27FC236}">
              <a16:creationId xmlns:a16="http://schemas.microsoft.com/office/drawing/2014/main" id="{A149592D-4879-CB4B-98FC-E8FC5C2FEBAB}"/>
            </a:ext>
          </a:extLst>
        </cdr:cNvPr>
        <cdr:cNvSpPr/>
      </cdr:nvSpPr>
      <cdr:spPr>
        <a:xfrm xmlns:a="http://schemas.openxmlformats.org/drawingml/2006/main">
          <a:off x="5408353" y="507404"/>
          <a:ext cx="222325" cy="174330"/>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6AC1B-4639-2C4E-BD4F-37AFA69E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28</cp:revision>
  <dcterms:created xsi:type="dcterms:W3CDTF">2020-11-12T18:00:00Z</dcterms:created>
  <dcterms:modified xsi:type="dcterms:W3CDTF">2020-12-03T08:18:00Z</dcterms:modified>
</cp:coreProperties>
</file>