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1541E" w:rsidRPr="0031541E" w:rsidRDefault="0031541E">
      <w:pPr>
        <w:rPr>
          <w:lang w:val="da-DK"/>
        </w:rPr>
      </w:pPr>
    </w:p>
    <w:p w:rsidR="0031541E" w:rsidRPr="0031541E" w:rsidRDefault="0031541E" w:rsidP="0031541E">
      <w:pPr>
        <w:rPr>
          <w:lang w:val="da-DK"/>
        </w:rPr>
      </w:pPr>
      <w:r w:rsidRPr="0031541E">
        <w:rPr>
          <w:lang w:val="da-DK"/>
        </w:rPr>
        <w:t xml:space="preserve">Opgave 1 </w:t>
      </w:r>
    </w:p>
    <w:p w:rsidR="0031541E" w:rsidRPr="0031541E" w:rsidRDefault="0031541E" w:rsidP="0031541E">
      <w:pPr>
        <w:rPr>
          <w:lang w:val="da-DK"/>
        </w:rPr>
      </w:pPr>
    </w:p>
    <w:p w:rsidR="0031541E" w:rsidRDefault="0031541E" w:rsidP="0031541E">
      <w:pPr>
        <w:pStyle w:val="ListParagraph"/>
        <w:numPr>
          <w:ilvl w:val="0"/>
          <w:numId w:val="2"/>
        </w:numPr>
        <w:rPr>
          <w:lang w:val="da-DK"/>
        </w:rPr>
      </w:pPr>
    </w:p>
    <w:p w:rsidR="0031541E" w:rsidRPr="00F53ECA" w:rsidRDefault="0053119C" w:rsidP="0031541E">
      <w:pPr>
        <w:rPr>
          <w:rFonts w:eastAsiaTheme="minorEastAsia"/>
          <w:lang w:val="da-DK"/>
        </w:rPr>
      </w:pPr>
      <m:oMathPara>
        <m:oMath>
          <m:d>
            <m:dPr>
              <m:ctrlPr>
                <w:rPr>
                  <w:rFonts w:ascii="Cambria Math" w:hAnsi="Cambria Math"/>
                  <w:i/>
                  <w:lang w:val="da-DK"/>
                </w:rPr>
              </m:ctrlPr>
            </m:dPr>
            <m:e>
              <m:f>
                <m:fPr>
                  <m:ctrlPr>
                    <w:rPr>
                      <w:rFonts w:ascii="Cambria Math" w:hAnsi="Cambria Math"/>
                      <w:i/>
                      <w:lang w:val="da-DK"/>
                    </w:rPr>
                  </m:ctrlPr>
                </m:fPr>
                <m:num>
                  <m:f>
                    <m:fPr>
                      <m:ctrlPr>
                        <w:rPr>
                          <w:rFonts w:ascii="Cambria Math" w:hAnsi="Cambria Math"/>
                          <w:i/>
                          <w:lang w:val="da-DK"/>
                        </w:rPr>
                      </m:ctrlPr>
                    </m:fPr>
                    <m:num>
                      <m:r>
                        <w:rPr>
                          <w:rFonts w:ascii="Cambria Math" w:hAnsi="Cambria Math"/>
                          <w:lang w:val="da-DK"/>
                        </w:rPr>
                        <m:t>52,2</m:t>
                      </m:r>
                    </m:num>
                    <m:den>
                      <m:r>
                        <w:rPr>
                          <w:rFonts w:ascii="Cambria Math" w:hAnsi="Cambria Math"/>
                          <w:lang w:val="da-DK"/>
                        </w:rPr>
                        <m:t>56,3</m:t>
                      </m:r>
                    </m:den>
                  </m:f>
                </m:num>
                <m:den>
                  <m:d>
                    <m:dPr>
                      <m:ctrlPr>
                        <w:rPr>
                          <w:rFonts w:ascii="Cambria Math" w:hAnsi="Cambria Math"/>
                          <w:i/>
                          <w:lang w:val="da-DK"/>
                        </w:rPr>
                      </m:ctrlPr>
                    </m:dPr>
                    <m:e>
                      <m:f>
                        <m:fPr>
                          <m:ctrlPr>
                            <w:rPr>
                              <w:rFonts w:ascii="Cambria Math" w:hAnsi="Cambria Math"/>
                              <w:i/>
                              <w:lang w:val="da-DK"/>
                            </w:rPr>
                          </m:ctrlPr>
                        </m:fPr>
                        <m:num>
                          <m:r>
                            <w:rPr>
                              <w:rFonts w:ascii="Cambria Math" w:hAnsi="Cambria Math"/>
                              <w:lang w:val="da-DK"/>
                            </w:rPr>
                            <m:t>50,6</m:t>
                          </m:r>
                        </m:num>
                        <m:den>
                          <m:r>
                            <w:rPr>
                              <w:rFonts w:ascii="Cambria Math" w:hAnsi="Cambria Math"/>
                              <w:lang w:val="da-DK"/>
                            </w:rPr>
                            <m:t>56,3</m:t>
                          </m:r>
                        </m:den>
                      </m:f>
                    </m:e>
                  </m:d>
                </m:den>
              </m:f>
              <m:r>
                <w:rPr>
                  <w:rFonts w:ascii="Cambria Math" w:hAnsi="Cambria Math"/>
                  <w:lang w:val="da-DK"/>
                </w:rPr>
                <m:t>-1</m:t>
              </m:r>
            </m:e>
          </m:d>
          <m:r>
            <w:rPr>
              <w:rFonts w:ascii="Cambria Math" w:hAnsi="Cambria Math"/>
              <w:lang w:val="da-DK"/>
            </w:rPr>
            <m:t>·100=3,16</m:t>
          </m:r>
          <m:r>
            <w:rPr>
              <w:rFonts w:ascii="Cambria Math" w:hAnsi="Cambria Math"/>
              <w:lang w:val="da-DK"/>
            </w:rPr>
            <m:t xml:space="preserve"> pct</m:t>
          </m:r>
          <m:r>
            <w:rPr>
              <w:rFonts w:ascii="Cambria Math" w:eastAsiaTheme="minorEastAsia" w:hAnsi="Cambria Math"/>
              <w:lang w:val="da-DK"/>
            </w:rPr>
            <m:t xml:space="preserve"> STO side 127</m:t>
          </m:r>
        </m:oMath>
      </m:oMathPara>
    </w:p>
    <w:p w:rsidR="0031541E" w:rsidRPr="00F53ECA" w:rsidRDefault="0031541E" w:rsidP="0031541E">
      <w:pPr>
        <w:pStyle w:val="ListParagraph"/>
        <w:numPr>
          <w:ilvl w:val="0"/>
          <w:numId w:val="2"/>
        </w:numPr>
        <w:rPr>
          <w:rFonts w:eastAsiaTheme="minorEastAsia"/>
          <w:lang w:val="da-DK"/>
        </w:rPr>
      </w:pPr>
    </w:p>
    <w:p w:rsidR="0031541E" w:rsidRPr="00F53ECA" w:rsidRDefault="0053119C" w:rsidP="0031541E">
      <w:pPr>
        <w:rPr>
          <w:rFonts w:eastAsiaTheme="minorEastAsia"/>
          <w:lang w:val="da-DK"/>
        </w:rPr>
      </w:pPr>
      <m:oMathPara>
        <m:oMath>
          <m:d>
            <m:dPr>
              <m:ctrlPr>
                <w:rPr>
                  <w:rFonts w:ascii="Cambria Math" w:eastAsiaTheme="minorEastAsia" w:hAnsi="Cambria Math"/>
                  <w:i/>
                  <w:lang w:val="da-DK"/>
                </w:rPr>
              </m:ctrlPr>
            </m:dPr>
            <m:e>
              <m:r>
                <w:rPr>
                  <w:rFonts w:ascii="Cambria Math" w:eastAsiaTheme="minorEastAsia" w:hAnsi="Cambria Math"/>
                  <w:lang w:val="da-DK"/>
                </w:rPr>
                <m:t xml:space="preserve"> </m:t>
              </m:r>
              <m:sSup>
                <m:sSupPr>
                  <m:ctrlPr>
                    <w:rPr>
                      <w:rFonts w:ascii="Cambria Math" w:eastAsiaTheme="minorEastAsia" w:hAnsi="Cambria Math"/>
                      <w:i/>
                      <w:lang w:val="da-DK"/>
                    </w:rPr>
                  </m:ctrlPr>
                </m:sSupPr>
                <m:e>
                  <m:d>
                    <m:dPr>
                      <m:ctrlPr>
                        <w:rPr>
                          <w:rFonts w:ascii="Cambria Math" w:eastAsiaTheme="minorEastAsia" w:hAnsi="Cambria Math"/>
                          <w:i/>
                          <w:lang w:val="da-DK"/>
                        </w:rPr>
                      </m:ctrlPr>
                    </m:dPr>
                    <m:e>
                      <m:f>
                        <m:fPr>
                          <m:ctrlPr>
                            <w:rPr>
                              <w:rFonts w:ascii="Cambria Math" w:eastAsiaTheme="minorEastAsia" w:hAnsi="Cambria Math"/>
                              <w:i/>
                              <w:lang w:val="da-DK"/>
                            </w:rPr>
                          </m:ctrlPr>
                        </m:fPr>
                        <m:num>
                          <m:f>
                            <m:fPr>
                              <m:ctrlPr>
                                <w:rPr>
                                  <w:rFonts w:ascii="Cambria Math" w:eastAsiaTheme="minorEastAsia" w:hAnsi="Cambria Math"/>
                                  <w:i/>
                                  <w:lang w:val="da-DK"/>
                                </w:rPr>
                              </m:ctrlPr>
                            </m:fPr>
                            <m:num>
                              <m:r>
                                <w:rPr>
                                  <w:rFonts w:ascii="Cambria Math" w:eastAsiaTheme="minorEastAsia" w:hAnsi="Cambria Math"/>
                                  <w:lang w:val="da-DK"/>
                                </w:rPr>
                                <m:t>20,8</m:t>
                              </m:r>
                            </m:num>
                            <m:den>
                              <m:r>
                                <w:rPr>
                                  <w:rFonts w:ascii="Cambria Math" w:eastAsiaTheme="minorEastAsia" w:hAnsi="Cambria Math"/>
                                  <w:lang w:val="da-DK"/>
                                </w:rPr>
                                <m:t>7,4</m:t>
                              </m:r>
                            </m:den>
                          </m:f>
                        </m:num>
                        <m:den>
                          <m:f>
                            <m:fPr>
                              <m:ctrlPr>
                                <w:rPr>
                                  <w:rFonts w:ascii="Cambria Math" w:eastAsiaTheme="minorEastAsia" w:hAnsi="Cambria Math"/>
                                  <w:i/>
                                  <w:lang w:val="da-DK"/>
                                </w:rPr>
                              </m:ctrlPr>
                            </m:fPr>
                            <m:num>
                              <m:r>
                                <w:rPr>
                                  <w:rFonts w:ascii="Cambria Math" w:eastAsiaTheme="minorEastAsia" w:hAnsi="Cambria Math"/>
                                  <w:lang w:val="da-DK"/>
                                </w:rPr>
                                <m:t>49,7</m:t>
                              </m:r>
                            </m:num>
                            <m:den>
                              <m:r>
                                <w:rPr>
                                  <w:rFonts w:ascii="Cambria Math" w:eastAsiaTheme="minorEastAsia" w:hAnsi="Cambria Math"/>
                                  <w:lang w:val="da-DK"/>
                                </w:rPr>
                                <m:t>8,5</m:t>
                              </m:r>
                            </m:den>
                          </m:f>
                        </m:den>
                      </m:f>
                    </m:e>
                  </m:d>
                </m:e>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10</m:t>
                      </m:r>
                    </m:den>
                  </m:f>
                </m:sup>
              </m:sSup>
              <m:r>
                <w:rPr>
                  <w:rFonts w:ascii="Cambria Math" w:eastAsiaTheme="minorEastAsia" w:hAnsi="Cambria Math"/>
                  <w:lang w:val="da-DK"/>
                </w:rPr>
                <m:t>-1</m:t>
              </m:r>
            </m:e>
          </m:d>
          <m:r>
            <w:rPr>
              <w:rFonts w:ascii="Cambria Math" w:eastAsiaTheme="minorEastAsia" w:hAnsi="Cambria Math"/>
              <w:lang w:val="da-DK"/>
            </w:rPr>
            <m:t>·100=-0,71 pct pro anno STO side 123 og 125</m:t>
          </m:r>
        </m:oMath>
      </m:oMathPara>
    </w:p>
    <w:p w:rsidR="003A765F" w:rsidRPr="00F53ECA" w:rsidRDefault="003A765F" w:rsidP="003A765F">
      <w:pPr>
        <w:pStyle w:val="ListParagraph"/>
        <w:numPr>
          <w:ilvl w:val="0"/>
          <w:numId w:val="2"/>
        </w:numPr>
        <w:rPr>
          <w:rFonts w:eastAsiaTheme="minorEastAsia"/>
          <w:lang w:val="da-DK"/>
        </w:rPr>
      </w:pPr>
    </w:p>
    <w:p w:rsidR="003A765F" w:rsidRPr="00F53ECA" w:rsidRDefault="0053119C" w:rsidP="003A765F">
      <w:pPr>
        <w:rPr>
          <w:rFonts w:eastAsiaTheme="minorEastAsia"/>
          <w:lang w:val="da-DK"/>
        </w:rPr>
      </w:pPr>
      <m:oMathPara>
        <m:oMath>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73,4-92,2</m:t>
                  </m:r>
                </m:num>
                <m:den>
                  <m:r>
                    <w:rPr>
                      <w:rFonts w:ascii="Cambria Math" w:eastAsiaTheme="minorEastAsia" w:hAnsi="Cambria Math"/>
                      <w:lang w:val="da-DK"/>
                    </w:rPr>
                    <m:t>92,2</m:t>
                  </m:r>
                </m:den>
              </m:f>
            </m:e>
          </m:d>
          <m:r>
            <w:rPr>
              <w:rFonts w:ascii="Cambria Math" w:eastAsiaTheme="minorEastAsia" w:hAnsi="Cambria Math"/>
              <w:lang w:val="da-DK"/>
            </w:rPr>
            <m:t>·100·</m:t>
          </m:r>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97,6</m:t>
                  </m:r>
                </m:num>
                <m:den>
                  <m:r>
                    <w:rPr>
                      <w:rFonts w:ascii="Cambria Math" w:eastAsiaTheme="minorEastAsia" w:hAnsi="Cambria Math"/>
                      <w:lang w:val="da-DK"/>
                    </w:rPr>
                    <m:t>413,3</m:t>
                  </m:r>
                </m:den>
              </m:f>
            </m:e>
          </m:d>
          <m:r>
            <w:rPr>
              <w:rFonts w:ascii="Cambria Math" w:eastAsiaTheme="minorEastAsia" w:hAnsi="Cambria Math"/>
              <w:lang w:val="da-DK"/>
            </w:rPr>
            <m:t>=-4,815 pct side 130</m:t>
          </m:r>
        </m:oMath>
      </m:oMathPara>
    </w:p>
    <w:p w:rsidR="003A765F" w:rsidRPr="00F53ECA" w:rsidRDefault="003A765F" w:rsidP="003A765F">
      <w:pPr>
        <w:rPr>
          <w:rFonts w:eastAsiaTheme="minorEastAsia"/>
          <w:lang w:val="da-DK"/>
        </w:rPr>
      </w:pPr>
    </w:p>
    <w:p w:rsidR="003A765F" w:rsidRDefault="003A765F" w:rsidP="00B51C0E">
      <w:pPr>
        <w:spacing w:line="360" w:lineRule="auto"/>
        <w:rPr>
          <w:rFonts w:eastAsiaTheme="minorEastAsia"/>
          <w:lang w:val="da-DK"/>
        </w:rPr>
      </w:pPr>
      <w:r w:rsidRPr="00F53ECA">
        <w:rPr>
          <w:rFonts w:eastAsiaTheme="minorEastAsia"/>
          <w:lang w:val="da-DK"/>
        </w:rPr>
        <w:t xml:space="preserve">Opgave 2 </w:t>
      </w:r>
    </w:p>
    <w:p w:rsidR="008A1313" w:rsidRDefault="008A1313" w:rsidP="00B51C0E">
      <w:pPr>
        <w:spacing w:line="360" w:lineRule="auto"/>
        <w:rPr>
          <w:rFonts w:eastAsiaTheme="minorEastAsia"/>
          <w:lang w:val="da-DK"/>
        </w:rPr>
      </w:pPr>
      <w:r>
        <w:rPr>
          <w:rFonts w:eastAsiaTheme="minorEastAsia"/>
          <w:lang w:val="da-DK"/>
        </w:rPr>
        <w:t>I denne del vil vi tage et kig på fordelingen af køernes størrelse til to konkurrencer med 10 års forskel. Dette vil bruges til at vise hvordan fordelingen mellem størrelser til konkurrence er. Om der en overvægt af tunge køer eller modsat. Først skal de forskellige fraktiler findes. Dette gøres for at finde en opdeling af køerne efter størrelsesrækkefølge. En fraktil er en andel. Fx 25 fraktilen indbefatter de 25 mindste køer, mens median indbefatter de 50% mindste køer</w:t>
      </w:r>
      <w:r w:rsidR="00C843C9">
        <w:rPr>
          <w:rFonts w:eastAsiaTheme="minorEastAsia"/>
          <w:lang w:val="da-DK"/>
        </w:rPr>
        <w:t xml:space="preserve">, og 75 fraktilen indbefatter 75% mindste køer. Man kan også inddele i 10% kvartiler, men da denne opgave skal udmunde i et </w:t>
      </w:r>
      <w:proofErr w:type="spellStart"/>
      <w:r w:rsidR="00C843C9">
        <w:rPr>
          <w:rFonts w:eastAsiaTheme="minorEastAsia"/>
          <w:lang w:val="da-DK"/>
        </w:rPr>
        <w:t>boxplot</w:t>
      </w:r>
      <w:proofErr w:type="spellEnd"/>
      <w:r w:rsidR="00C843C9">
        <w:rPr>
          <w:rFonts w:eastAsiaTheme="minorEastAsia"/>
          <w:lang w:val="da-DK"/>
        </w:rPr>
        <w:t xml:space="preserve">, skal den nedre kvartil, 25%, medianen, 50% og den øvre kvartil, 75% bruges. Disse, samt maksimum, middelværdi og minimum er udledt vha. Excel i tabel 2.1 for både år 2000 og 2010. </w:t>
      </w:r>
    </w:p>
    <w:tbl>
      <w:tblPr>
        <w:tblW w:w="3866" w:type="dxa"/>
        <w:tblLook w:val="04A0" w:firstRow="1" w:lastRow="0" w:firstColumn="1" w:lastColumn="0" w:noHBand="0" w:noVBand="1"/>
      </w:tblPr>
      <w:tblGrid>
        <w:gridCol w:w="1306"/>
        <w:gridCol w:w="1280"/>
        <w:gridCol w:w="1280"/>
      </w:tblGrid>
      <w:tr w:rsidR="00080167" w:rsidTr="00080167">
        <w:trPr>
          <w:trHeight w:val="260"/>
        </w:trPr>
        <w:tc>
          <w:tcPr>
            <w:tcW w:w="1306" w:type="dxa"/>
            <w:tcBorders>
              <w:top w:val="nil"/>
              <w:left w:val="nil"/>
              <w:bottom w:val="single" w:sz="12" w:space="0" w:color="FFFFFF"/>
              <w:right w:val="single" w:sz="4" w:space="0" w:color="FFFFFF"/>
            </w:tcBorders>
            <w:shd w:val="clear" w:color="9BBB59" w:fill="9BBB59"/>
            <w:noWrap/>
            <w:vAlign w:val="bottom"/>
            <w:hideMark/>
          </w:tcPr>
          <w:p w:rsidR="00080167" w:rsidRDefault="00080167">
            <w:pPr>
              <w:rPr>
                <w:rFonts w:ascii="Arial" w:hAnsi="Arial" w:cs="Arial"/>
                <w:b/>
                <w:bCs/>
                <w:color w:val="FFFFFF"/>
                <w:sz w:val="20"/>
                <w:szCs w:val="20"/>
              </w:rPr>
            </w:pPr>
            <w:r>
              <w:rPr>
                <w:rFonts w:ascii="Arial" w:hAnsi="Arial" w:cs="Arial"/>
                <w:b/>
                <w:bCs/>
                <w:color w:val="FFFFFF"/>
                <w:sz w:val="20"/>
                <w:szCs w:val="20"/>
              </w:rPr>
              <w:t>Column1</w:t>
            </w:r>
          </w:p>
        </w:tc>
        <w:tc>
          <w:tcPr>
            <w:tcW w:w="1280" w:type="dxa"/>
            <w:tcBorders>
              <w:top w:val="nil"/>
              <w:left w:val="single" w:sz="4" w:space="0" w:color="FFFFFF"/>
              <w:bottom w:val="single" w:sz="12" w:space="0" w:color="FFFFFF"/>
              <w:right w:val="single" w:sz="4" w:space="0" w:color="FFFFFF"/>
            </w:tcBorders>
            <w:shd w:val="clear" w:color="9BBB59" w:fill="9BBB59"/>
            <w:noWrap/>
            <w:vAlign w:val="bottom"/>
            <w:hideMark/>
          </w:tcPr>
          <w:p w:rsidR="00080167" w:rsidRDefault="00080167">
            <w:pPr>
              <w:rPr>
                <w:rFonts w:ascii="Arial" w:hAnsi="Arial" w:cs="Arial"/>
                <w:b/>
                <w:bCs/>
                <w:color w:val="FFFFFF"/>
                <w:sz w:val="20"/>
                <w:szCs w:val="20"/>
              </w:rPr>
            </w:pPr>
            <w:r>
              <w:rPr>
                <w:rFonts w:ascii="Arial" w:hAnsi="Arial" w:cs="Arial"/>
                <w:b/>
                <w:bCs/>
                <w:color w:val="FFFFFF"/>
                <w:sz w:val="20"/>
                <w:szCs w:val="20"/>
              </w:rPr>
              <w:t>Column2</w:t>
            </w:r>
          </w:p>
        </w:tc>
        <w:tc>
          <w:tcPr>
            <w:tcW w:w="1280" w:type="dxa"/>
            <w:tcBorders>
              <w:top w:val="nil"/>
              <w:left w:val="single" w:sz="4" w:space="0" w:color="FFFFFF"/>
              <w:bottom w:val="single" w:sz="12" w:space="0" w:color="FFFFFF"/>
              <w:right w:val="nil"/>
            </w:tcBorders>
            <w:shd w:val="clear" w:color="9BBB59" w:fill="9BBB59"/>
            <w:noWrap/>
            <w:vAlign w:val="bottom"/>
            <w:hideMark/>
          </w:tcPr>
          <w:p w:rsidR="00080167" w:rsidRDefault="00080167">
            <w:pPr>
              <w:jc w:val="right"/>
              <w:rPr>
                <w:rFonts w:ascii="Arial" w:hAnsi="Arial" w:cs="Arial"/>
                <w:b/>
                <w:bCs/>
                <w:color w:val="FFFFFF"/>
                <w:sz w:val="20"/>
                <w:szCs w:val="20"/>
              </w:rPr>
            </w:pPr>
            <w:r>
              <w:rPr>
                <w:rFonts w:ascii="Arial" w:hAnsi="Arial" w:cs="Arial"/>
                <w:b/>
                <w:bCs/>
                <w:color w:val="FFFFFF"/>
                <w:sz w:val="20"/>
                <w:szCs w:val="20"/>
              </w:rPr>
              <w:t>Column3</w:t>
            </w:r>
          </w:p>
        </w:tc>
      </w:tr>
      <w:tr w:rsidR="00080167" w:rsidTr="00080167">
        <w:trPr>
          <w:trHeight w:val="260"/>
        </w:trPr>
        <w:tc>
          <w:tcPr>
            <w:tcW w:w="1306" w:type="dxa"/>
            <w:tcBorders>
              <w:top w:val="single" w:sz="4" w:space="0" w:color="FFFFFF"/>
              <w:left w:val="nil"/>
              <w:bottom w:val="single" w:sz="4" w:space="0" w:color="FFFFFF"/>
              <w:right w:val="single" w:sz="4" w:space="0" w:color="FFFFFF"/>
            </w:tcBorders>
            <w:shd w:val="clear" w:color="D8E4BC" w:fill="D8E4BC"/>
            <w:noWrap/>
            <w:vAlign w:val="bottom"/>
            <w:hideMark/>
          </w:tcPr>
          <w:p w:rsidR="00080167" w:rsidRDefault="00080167">
            <w:pPr>
              <w:rPr>
                <w:rFonts w:ascii="Arial" w:hAnsi="Arial" w:cs="Arial"/>
                <w:color w:val="000000"/>
                <w:sz w:val="20"/>
                <w:szCs w:val="20"/>
              </w:rPr>
            </w:pPr>
            <w:proofErr w:type="spellStart"/>
            <w:r>
              <w:rPr>
                <w:rFonts w:ascii="Arial" w:hAnsi="Arial" w:cs="Arial"/>
                <w:color w:val="000000"/>
                <w:sz w:val="20"/>
                <w:szCs w:val="20"/>
              </w:rPr>
              <w:t>Tabel</w:t>
            </w:r>
            <w:proofErr w:type="spellEnd"/>
            <w:r>
              <w:rPr>
                <w:rFonts w:ascii="Arial" w:hAnsi="Arial" w:cs="Arial"/>
                <w:color w:val="000000"/>
                <w:sz w:val="20"/>
                <w:szCs w:val="20"/>
              </w:rPr>
              <w:t xml:space="preserve"> 2.1</w:t>
            </w:r>
          </w:p>
        </w:tc>
        <w:tc>
          <w:tcPr>
            <w:tcW w:w="1280"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080167" w:rsidRDefault="00080167">
            <w:pPr>
              <w:jc w:val="right"/>
              <w:rPr>
                <w:rFonts w:ascii="Arial" w:hAnsi="Arial" w:cs="Arial"/>
                <w:color w:val="000000"/>
                <w:sz w:val="20"/>
                <w:szCs w:val="20"/>
              </w:rPr>
            </w:pPr>
            <w:r>
              <w:rPr>
                <w:rFonts w:ascii="Arial" w:hAnsi="Arial" w:cs="Arial"/>
                <w:color w:val="000000"/>
                <w:sz w:val="20"/>
                <w:szCs w:val="20"/>
              </w:rPr>
              <w:t>2000</w:t>
            </w:r>
          </w:p>
        </w:tc>
        <w:tc>
          <w:tcPr>
            <w:tcW w:w="1280" w:type="dxa"/>
            <w:tcBorders>
              <w:top w:val="single" w:sz="4" w:space="0" w:color="FFFFFF"/>
              <w:left w:val="single" w:sz="4" w:space="0" w:color="FFFFFF"/>
              <w:bottom w:val="single" w:sz="4" w:space="0" w:color="FFFFFF"/>
              <w:right w:val="nil"/>
            </w:tcBorders>
            <w:shd w:val="clear" w:color="D8E4BC" w:fill="D8E4BC"/>
            <w:noWrap/>
            <w:vAlign w:val="bottom"/>
            <w:hideMark/>
          </w:tcPr>
          <w:p w:rsidR="00080167" w:rsidRDefault="00080167">
            <w:pPr>
              <w:jc w:val="right"/>
              <w:rPr>
                <w:rFonts w:ascii="Arial" w:hAnsi="Arial" w:cs="Arial"/>
                <w:color w:val="000000"/>
                <w:sz w:val="20"/>
                <w:szCs w:val="20"/>
              </w:rPr>
            </w:pPr>
            <w:r>
              <w:rPr>
                <w:rFonts w:ascii="Arial" w:hAnsi="Arial" w:cs="Arial"/>
                <w:color w:val="000000"/>
                <w:sz w:val="20"/>
                <w:szCs w:val="20"/>
              </w:rPr>
              <w:t>2010</w:t>
            </w:r>
          </w:p>
        </w:tc>
      </w:tr>
      <w:tr w:rsidR="00080167" w:rsidTr="00080167">
        <w:trPr>
          <w:trHeight w:val="260"/>
        </w:trPr>
        <w:tc>
          <w:tcPr>
            <w:tcW w:w="1306" w:type="dxa"/>
            <w:tcBorders>
              <w:top w:val="single" w:sz="4" w:space="0" w:color="FFFFFF"/>
              <w:left w:val="nil"/>
              <w:bottom w:val="single" w:sz="4" w:space="0" w:color="FFFFFF"/>
              <w:right w:val="single" w:sz="4" w:space="0" w:color="FFFFFF"/>
            </w:tcBorders>
            <w:shd w:val="clear" w:color="EBF1DE" w:fill="EBF1DE"/>
            <w:noWrap/>
            <w:vAlign w:val="bottom"/>
            <w:hideMark/>
          </w:tcPr>
          <w:p w:rsidR="00080167" w:rsidRDefault="00080167">
            <w:pPr>
              <w:rPr>
                <w:rFonts w:ascii="Arial" w:hAnsi="Arial" w:cs="Arial"/>
                <w:color w:val="000000"/>
                <w:sz w:val="20"/>
                <w:szCs w:val="20"/>
              </w:rPr>
            </w:pPr>
            <w:proofErr w:type="spellStart"/>
            <w:r>
              <w:rPr>
                <w:rFonts w:ascii="Arial" w:hAnsi="Arial" w:cs="Arial"/>
                <w:color w:val="000000"/>
                <w:sz w:val="20"/>
                <w:szCs w:val="20"/>
              </w:rPr>
              <w:t>Nedre</w:t>
            </w:r>
            <w:proofErr w:type="spellEnd"/>
          </w:p>
        </w:tc>
        <w:tc>
          <w:tcPr>
            <w:tcW w:w="1280"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080167" w:rsidRDefault="00080167">
            <w:pPr>
              <w:jc w:val="right"/>
              <w:rPr>
                <w:rFonts w:ascii="Arial" w:hAnsi="Arial" w:cs="Arial"/>
                <w:color w:val="000000"/>
                <w:sz w:val="20"/>
                <w:szCs w:val="20"/>
              </w:rPr>
            </w:pPr>
            <w:r>
              <w:rPr>
                <w:rFonts w:ascii="Arial" w:hAnsi="Arial" w:cs="Arial"/>
                <w:color w:val="000000"/>
                <w:sz w:val="20"/>
                <w:szCs w:val="20"/>
              </w:rPr>
              <w:t>56</w:t>
            </w:r>
          </w:p>
        </w:tc>
        <w:tc>
          <w:tcPr>
            <w:tcW w:w="1280" w:type="dxa"/>
            <w:tcBorders>
              <w:top w:val="single" w:sz="4" w:space="0" w:color="FFFFFF"/>
              <w:left w:val="single" w:sz="4" w:space="0" w:color="FFFFFF"/>
              <w:bottom w:val="single" w:sz="4" w:space="0" w:color="FFFFFF"/>
              <w:right w:val="nil"/>
            </w:tcBorders>
            <w:shd w:val="clear" w:color="EBF1DE" w:fill="EBF1DE"/>
            <w:noWrap/>
            <w:vAlign w:val="bottom"/>
            <w:hideMark/>
          </w:tcPr>
          <w:p w:rsidR="00080167" w:rsidRDefault="00080167">
            <w:pPr>
              <w:jc w:val="right"/>
              <w:rPr>
                <w:rFonts w:ascii="Arial" w:hAnsi="Arial" w:cs="Arial"/>
                <w:color w:val="000000"/>
                <w:sz w:val="20"/>
                <w:szCs w:val="20"/>
              </w:rPr>
            </w:pPr>
            <w:r>
              <w:rPr>
                <w:rFonts w:ascii="Arial" w:hAnsi="Arial" w:cs="Arial"/>
                <w:color w:val="000000"/>
                <w:sz w:val="20"/>
                <w:szCs w:val="20"/>
              </w:rPr>
              <w:t>59</w:t>
            </w:r>
          </w:p>
        </w:tc>
      </w:tr>
      <w:tr w:rsidR="00080167" w:rsidTr="00080167">
        <w:trPr>
          <w:trHeight w:val="260"/>
        </w:trPr>
        <w:tc>
          <w:tcPr>
            <w:tcW w:w="1306" w:type="dxa"/>
            <w:tcBorders>
              <w:top w:val="single" w:sz="4" w:space="0" w:color="FFFFFF"/>
              <w:left w:val="nil"/>
              <w:bottom w:val="single" w:sz="4" w:space="0" w:color="FFFFFF"/>
              <w:right w:val="single" w:sz="4" w:space="0" w:color="FFFFFF"/>
            </w:tcBorders>
            <w:shd w:val="clear" w:color="D8E4BC" w:fill="D8E4BC"/>
            <w:noWrap/>
            <w:vAlign w:val="bottom"/>
            <w:hideMark/>
          </w:tcPr>
          <w:p w:rsidR="00080167" w:rsidRDefault="00080167">
            <w:pPr>
              <w:rPr>
                <w:rFonts w:ascii="Arial" w:hAnsi="Arial" w:cs="Arial"/>
                <w:color w:val="000000"/>
                <w:sz w:val="20"/>
                <w:szCs w:val="20"/>
              </w:rPr>
            </w:pPr>
            <w:r>
              <w:rPr>
                <w:rFonts w:ascii="Arial" w:hAnsi="Arial" w:cs="Arial"/>
                <w:color w:val="000000"/>
                <w:sz w:val="20"/>
                <w:szCs w:val="20"/>
              </w:rPr>
              <w:t>Min</w:t>
            </w:r>
          </w:p>
        </w:tc>
        <w:tc>
          <w:tcPr>
            <w:tcW w:w="1280"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080167" w:rsidRDefault="00080167">
            <w:pPr>
              <w:jc w:val="right"/>
              <w:rPr>
                <w:rFonts w:ascii="Arial" w:hAnsi="Arial" w:cs="Arial"/>
                <w:color w:val="000000"/>
                <w:sz w:val="20"/>
                <w:szCs w:val="20"/>
              </w:rPr>
            </w:pPr>
            <w:r>
              <w:rPr>
                <w:rFonts w:ascii="Arial" w:hAnsi="Arial" w:cs="Arial"/>
                <w:color w:val="000000"/>
                <w:sz w:val="20"/>
                <w:szCs w:val="20"/>
              </w:rPr>
              <w:t>18</w:t>
            </w:r>
          </w:p>
        </w:tc>
        <w:tc>
          <w:tcPr>
            <w:tcW w:w="1280" w:type="dxa"/>
            <w:tcBorders>
              <w:top w:val="single" w:sz="4" w:space="0" w:color="FFFFFF"/>
              <w:left w:val="single" w:sz="4" w:space="0" w:color="FFFFFF"/>
              <w:bottom w:val="single" w:sz="4" w:space="0" w:color="FFFFFF"/>
              <w:right w:val="nil"/>
            </w:tcBorders>
            <w:shd w:val="clear" w:color="D8E4BC" w:fill="D8E4BC"/>
            <w:noWrap/>
            <w:vAlign w:val="bottom"/>
            <w:hideMark/>
          </w:tcPr>
          <w:p w:rsidR="00080167" w:rsidRDefault="00080167">
            <w:pPr>
              <w:jc w:val="right"/>
              <w:rPr>
                <w:rFonts w:ascii="Arial" w:hAnsi="Arial" w:cs="Arial"/>
                <w:color w:val="000000"/>
                <w:sz w:val="20"/>
                <w:szCs w:val="20"/>
              </w:rPr>
            </w:pPr>
            <w:r>
              <w:rPr>
                <w:rFonts w:ascii="Arial" w:hAnsi="Arial" w:cs="Arial"/>
                <w:color w:val="000000"/>
                <w:sz w:val="20"/>
                <w:szCs w:val="20"/>
              </w:rPr>
              <w:t>20</w:t>
            </w:r>
          </w:p>
        </w:tc>
      </w:tr>
      <w:tr w:rsidR="00080167" w:rsidTr="00080167">
        <w:trPr>
          <w:trHeight w:val="260"/>
        </w:trPr>
        <w:tc>
          <w:tcPr>
            <w:tcW w:w="1306" w:type="dxa"/>
            <w:tcBorders>
              <w:top w:val="single" w:sz="4" w:space="0" w:color="FFFFFF"/>
              <w:left w:val="nil"/>
              <w:bottom w:val="single" w:sz="4" w:space="0" w:color="FFFFFF"/>
              <w:right w:val="single" w:sz="4" w:space="0" w:color="FFFFFF"/>
            </w:tcBorders>
            <w:shd w:val="clear" w:color="EBF1DE" w:fill="EBF1DE"/>
            <w:noWrap/>
            <w:vAlign w:val="bottom"/>
            <w:hideMark/>
          </w:tcPr>
          <w:p w:rsidR="00080167" w:rsidRDefault="00080167">
            <w:pPr>
              <w:rPr>
                <w:rFonts w:ascii="Arial" w:hAnsi="Arial" w:cs="Arial"/>
                <w:color w:val="000000"/>
                <w:sz w:val="20"/>
                <w:szCs w:val="20"/>
              </w:rPr>
            </w:pPr>
            <w:r>
              <w:rPr>
                <w:rFonts w:ascii="Arial" w:hAnsi="Arial" w:cs="Arial"/>
                <w:color w:val="000000"/>
                <w:sz w:val="20"/>
                <w:szCs w:val="20"/>
              </w:rPr>
              <w:t>Median</w:t>
            </w:r>
          </w:p>
        </w:tc>
        <w:tc>
          <w:tcPr>
            <w:tcW w:w="1280"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080167" w:rsidRDefault="00080167">
            <w:pPr>
              <w:jc w:val="right"/>
              <w:rPr>
                <w:rFonts w:ascii="Arial" w:hAnsi="Arial" w:cs="Arial"/>
                <w:color w:val="000000"/>
                <w:sz w:val="20"/>
                <w:szCs w:val="20"/>
              </w:rPr>
            </w:pPr>
            <w:r>
              <w:rPr>
                <w:rFonts w:ascii="Arial" w:hAnsi="Arial" w:cs="Arial"/>
                <w:color w:val="000000"/>
                <w:sz w:val="20"/>
                <w:szCs w:val="20"/>
              </w:rPr>
              <w:t>138</w:t>
            </w:r>
          </w:p>
        </w:tc>
        <w:tc>
          <w:tcPr>
            <w:tcW w:w="1280" w:type="dxa"/>
            <w:tcBorders>
              <w:top w:val="single" w:sz="4" w:space="0" w:color="FFFFFF"/>
              <w:left w:val="single" w:sz="4" w:space="0" w:color="FFFFFF"/>
              <w:bottom w:val="single" w:sz="4" w:space="0" w:color="FFFFFF"/>
              <w:right w:val="nil"/>
            </w:tcBorders>
            <w:shd w:val="clear" w:color="EBF1DE" w:fill="EBF1DE"/>
            <w:noWrap/>
            <w:vAlign w:val="bottom"/>
            <w:hideMark/>
          </w:tcPr>
          <w:p w:rsidR="00080167" w:rsidRDefault="00080167">
            <w:pPr>
              <w:jc w:val="right"/>
              <w:rPr>
                <w:rFonts w:ascii="Arial" w:hAnsi="Arial" w:cs="Arial"/>
                <w:color w:val="000000"/>
                <w:sz w:val="20"/>
                <w:szCs w:val="20"/>
              </w:rPr>
            </w:pPr>
            <w:r>
              <w:rPr>
                <w:rFonts w:ascii="Arial" w:hAnsi="Arial" w:cs="Arial"/>
                <w:color w:val="000000"/>
                <w:sz w:val="20"/>
                <w:szCs w:val="20"/>
              </w:rPr>
              <w:t>157</w:t>
            </w:r>
          </w:p>
        </w:tc>
      </w:tr>
      <w:tr w:rsidR="00080167" w:rsidTr="00080167">
        <w:trPr>
          <w:trHeight w:val="260"/>
        </w:trPr>
        <w:tc>
          <w:tcPr>
            <w:tcW w:w="1306" w:type="dxa"/>
            <w:tcBorders>
              <w:top w:val="single" w:sz="4" w:space="0" w:color="FFFFFF"/>
              <w:left w:val="nil"/>
              <w:bottom w:val="single" w:sz="4" w:space="0" w:color="FFFFFF"/>
              <w:right w:val="single" w:sz="4" w:space="0" w:color="FFFFFF"/>
            </w:tcBorders>
            <w:shd w:val="clear" w:color="D8E4BC" w:fill="D8E4BC"/>
            <w:noWrap/>
            <w:vAlign w:val="bottom"/>
            <w:hideMark/>
          </w:tcPr>
          <w:p w:rsidR="00080167" w:rsidRDefault="00080167">
            <w:pPr>
              <w:rPr>
                <w:rFonts w:ascii="Arial" w:hAnsi="Arial" w:cs="Arial"/>
                <w:color w:val="000000"/>
                <w:sz w:val="20"/>
                <w:szCs w:val="20"/>
              </w:rPr>
            </w:pPr>
            <w:r>
              <w:rPr>
                <w:rFonts w:ascii="Arial" w:hAnsi="Arial" w:cs="Arial"/>
                <w:color w:val="000000"/>
                <w:sz w:val="20"/>
                <w:szCs w:val="20"/>
              </w:rPr>
              <w:t>Max</w:t>
            </w:r>
          </w:p>
        </w:tc>
        <w:tc>
          <w:tcPr>
            <w:tcW w:w="1280"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080167" w:rsidRDefault="00080167">
            <w:pPr>
              <w:jc w:val="right"/>
              <w:rPr>
                <w:rFonts w:ascii="Arial" w:hAnsi="Arial" w:cs="Arial"/>
                <w:color w:val="000000"/>
                <w:sz w:val="20"/>
                <w:szCs w:val="20"/>
              </w:rPr>
            </w:pPr>
            <w:r>
              <w:rPr>
                <w:rFonts w:ascii="Arial" w:hAnsi="Arial" w:cs="Arial"/>
                <w:color w:val="000000"/>
                <w:sz w:val="20"/>
                <w:szCs w:val="20"/>
              </w:rPr>
              <w:t>676</w:t>
            </w:r>
          </w:p>
        </w:tc>
        <w:tc>
          <w:tcPr>
            <w:tcW w:w="1280" w:type="dxa"/>
            <w:tcBorders>
              <w:top w:val="single" w:sz="4" w:space="0" w:color="FFFFFF"/>
              <w:left w:val="single" w:sz="4" w:space="0" w:color="FFFFFF"/>
              <w:bottom w:val="single" w:sz="4" w:space="0" w:color="FFFFFF"/>
              <w:right w:val="nil"/>
            </w:tcBorders>
            <w:shd w:val="clear" w:color="D8E4BC" w:fill="D8E4BC"/>
            <w:noWrap/>
            <w:vAlign w:val="bottom"/>
            <w:hideMark/>
          </w:tcPr>
          <w:p w:rsidR="00080167" w:rsidRDefault="00080167">
            <w:pPr>
              <w:jc w:val="right"/>
              <w:rPr>
                <w:rFonts w:ascii="Arial" w:hAnsi="Arial" w:cs="Arial"/>
                <w:color w:val="000000"/>
                <w:sz w:val="20"/>
                <w:szCs w:val="20"/>
              </w:rPr>
            </w:pPr>
            <w:r>
              <w:rPr>
                <w:rFonts w:ascii="Arial" w:hAnsi="Arial" w:cs="Arial"/>
                <w:color w:val="000000"/>
                <w:sz w:val="20"/>
                <w:szCs w:val="20"/>
              </w:rPr>
              <w:t>767</w:t>
            </w:r>
          </w:p>
        </w:tc>
      </w:tr>
      <w:tr w:rsidR="00080167" w:rsidTr="00080167">
        <w:trPr>
          <w:trHeight w:val="260"/>
        </w:trPr>
        <w:tc>
          <w:tcPr>
            <w:tcW w:w="1306" w:type="dxa"/>
            <w:tcBorders>
              <w:top w:val="single" w:sz="4" w:space="0" w:color="FFFFFF"/>
              <w:left w:val="nil"/>
              <w:bottom w:val="single" w:sz="4" w:space="0" w:color="FFFFFF"/>
              <w:right w:val="single" w:sz="4" w:space="0" w:color="FFFFFF"/>
            </w:tcBorders>
            <w:shd w:val="clear" w:color="EBF1DE" w:fill="EBF1DE"/>
            <w:noWrap/>
            <w:vAlign w:val="bottom"/>
            <w:hideMark/>
          </w:tcPr>
          <w:p w:rsidR="00080167" w:rsidRDefault="00080167">
            <w:pPr>
              <w:rPr>
                <w:rFonts w:ascii="Arial" w:hAnsi="Arial" w:cs="Arial"/>
                <w:color w:val="000000"/>
                <w:sz w:val="20"/>
                <w:szCs w:val="20"/>
              </w:rPr>
            </w:pPr>
            <w:proofErr w:type="spellStart"/>
            <w:r>
              <w:rPr>
                <w:rFonts w:ascii="Arial" w:hAnsi="Arial" w:cs="Arial"/>
                <w:color w:val="000000"/>
                <w:sz w:val="20"/>
                <w:szCs w:val="20"/>
              </w:rPr>
              <w:t>Øvre</w:t>
            </w:r>
            <w:proofErr w:type="spellEnd"/>
          </w:p>
        </w:tc>
        <w:tc>
          <w:tcPr>
            <w:tcW w:w="1280"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080167" w:rsidRDefault="00080167">
            <w:pPr>
              <w:jc w:val="right"/>
              <w:rPr>
                <w:rFonts w:ascii="Arial" w:hAnsi="Arial" w:cs="Arial"/>
                <w:color w:val="000000"/>
                <w:sz w:val="20"/>
                <w:szCs w:val="20"/>
              </w:rPr>
            </w:pPr>
            <w:r>
              <w:rPr>
                <w:rFonts w:ascii="Arial" w:hAnsi="Arial" w:cs="Arial"/>
                <w:color w:val="000000"/>
                <w:sz w:val="20"/>
                <w:szCs w:val="20"/>
              </w:rPr>
              <w:t>251</w:t>
            </w:r>
          </w:p>
        </w:tc>
        <w:tc>
          <w:tcPr>
            <w:tcW w:w="1280" w:type="dxa"/>
            <w:tcBorders>
              <w:top w:val="single" w:sz="4" w:space="0" w:color="FFFFFF"/>
              <w:left w:val="single" w:sz="4" w:space="0" w:color="FFFFFF"/>
              <w:bottom w:val="single" w:sz="4" w:space="0" w:color="FFFFFF"/>
              <w:right w:val="nil"/>
            </w:tcBorders>
            <w:shd w:val="clear" w:color="EBF1DE" w:fill="EBF1DE"/>
            <w:noWrap/>
            <w:vAlign w:val="bottom"/>
            <w:hideMark/>
          </w:tcPr>
          <w:p w:rsidR="00080167" w:rsidRDefault="00080167">
            <w:pPr>
              <w:jc w:val="right"/>
              <w:rPr>
                <w:rFonts w:ascii="Arial" w:hAnsi="Arial" w:cs="Arial"/>
                <w:color w:val="000000"/>
                <w:sz w:val="20"/>
                <w:szCs w:val="20"/>
              </w:rPr>
            </w:pPr>
            <w:r>
              <w:rPr>
                <w:rFonts w:ascii="Arial" w:hAnsi="Arial" w:cs="Arial"/>
                <w:color w:val="000000"/>
                <w:sz w:val="20"/>
                <w:szCs w:val="20"/>
              </w:rPr>
              <w:t>264</w:t>
            </w:r>
          </w:p>
        </w:tc>
      </w:tr>
      <w:tr w:rsidR="00080167" w:rsidTr="00080167">
        <w:trPr>
          <w:trHeight w:val="260"/>
        </w:trPr>
        <w:tc>
          <w:tcPr>
            <w:tcW w:w="1306" w:type="dxa"/>
            <w:tcBorders>
              <w:top w:val="single" w:sz="4" w:space="0" w:color="FFFFFF"/>
              <w:left w:val="nil"/>
              <w:bottom w:val="single" w:sz="4" w:space="0" w:color="FFFFFF"/>
              <w:right w:val="single" w:sz="4" w:space="0" w:color="FFFFFF"/>
            </w:tcBorders>
            <w:shd w:val="clear" w:color="D8E4BC" w:fill="D8E4BC"/>
            <w:noWrap/>
            <w:vAlign w:val="bottom"/>
            <w:hideMark/>
          </w:tcPr>
          <w:p w:rsidR="00080167" w:rsidRDefault="00080167">
            <w:pPr>
              <w:rPr>
                <w:rFonts w:ascii="Arial" w:hAnsi="Arial" w:cs="Arial"/>
                <w:color w:val="000000"/>
                <w:sz w:val="20"/>
                <w:szCs w:val="20"/>
              </w:rPr>
            </w:pPr>
            <w:proofErr w:type="spellStart"/>
            <w:r>
              <w:rPr>
                <w:rFonts w:ascii="Arial" w:hAnsi="Arial" w:cs="Arial"/>
                <w:color w:val="000000"/>
                <w:sz w:val="20"/>
                <w:szCs w:val="20"/>
              </w:rPr>
              <w:t>Middelværdi</w:t>
            </w:r>
            <w:proofErr w:type="spellEnd"/>
          </w:p>
        </w:tc>
        <w:tc>
          <w:tcPr>
            <w:tcW w:w="1280"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080167" w:rsidRDefault="00080167">
            <w:pPr>
              <w:jc w:val="right"/>
              <w:rPr>
                <w:rFonts w:ascii="Arial" w:hAnsi="Arial" w:cs="Arial"/>
                <w:color w:val="000000"/>
                <w:sz w:val="20"/>
                <w:szCs w:val="20"/>
              </w:rPr>
            </w:pPr>
            <w:r>
              <w:rPr>
                <w:rFonts w:ascii="Arial" w:hAnsi="Arial" w:cs="Arial"/>
                <w:color w:val="000000"/>
                <w:sz w:val="20"/>
                <w:szCs w:val="20"/>
              </w:rPr>
              <w:t>174</w:t>
            </w:r>
          </w:p>
        </w:tc>
        <w:tc>
          <w:tcPr>
            <w:tcW w:w="1280" w:type="dxa"/>
            <w:tcBorders>
              <w:top w:val="single" w:sz="4" w:space="0" w:color="FFFFFF"/>
              <w:left w:val="single" w:sz="4" w:space="0" w:color="FFFFFF"/>
              <w:bottom w:val="single" w:sz="4" w:space="0" w:color="FFFFFF"/>
              <w:right w:val="nil"/>
            </w:tcBorders>
            <w:shd w:val="clear" w:color="D8E4BC" w:fill="D8E4BC"/>
            <w:noWrap/>
            <w:vAlign w:val="bottom"/>
            <w:hideMark/>
          </w:tcPr>
          <w:p w:rsidR="00080167" w:rsidRDefault="00080167">
            <w:pPr>
              <w:jc w:val="right"/>
              <w:rPr>
                <w:rFonts w:ascii="Arial" w:hAnsi="Arial" w:cs="Arial"/>
                <w:color w:val="000000"/>
                <w:sz w:val="20"/>
                <w:szCs w:val="20"/>
              </w:rPr>
            </w:pPr>
            <w:r>
              <w:rPr>
                <w:rFonts w:ascii="Arial" w:hAnsi="Arial" w:cs="Arial"/>
                <w:color w:val="000000"/>
                <w:sz w:val="20"/>
                <w:szCs w:val="20"/>
              </w:rPr>
              <w:t>213</w:t>
            </w:r>
          </w:p>
        </w:tc>
      </w:tr>
      <w:tr w:rsidR="00080167" w:rsidRPr="00EA1DAC" w:rsidTr="00080167">
        <w:trPr>
          <w:trHeight w:val="260"/>
        </w:trPr>
        <w:tc>
          <w:tcPr>
            <w:tcW w:w="3866" w:type="dxa"/>
            <w:gridSpan w:val="3"/>
            <w:tcBorders>
              <w:top w:val="single" w:sz="4" w:space="0" w:color="FFFFFF"/>
              <w:left w:val="nil"/>
              <w:bottom w:val="nil"/>
              <w:right w:val="single" w:sz="4" w:space="0" w:color="FFFFFF"/>
            </w:tcBorders>
            <w:shd w:val="clear" w:color="EBF1DE" w:fill="EBF1DE"/>
            <w:noWrap/>
            <w:vAlign w:val="bottom"/>
            <w:hideMark/>
          </w:tcPr>
          <w:p w:rsidR="00080167" w:rsidRPr="00080167" w:rsidRDefault="00080167">
            <w:pPr>
              <w:rPr>
                <w:rFonts w:ascii="Arial" w:hAnsi="Arial" w:cs="Arial"/>
                <w:i/>
                <w:iCs/>
                <w:color w:val="000000"/>
                <w:sz w:val="20"/>
                <w:szCs w:val="20"/>
                <w:lang w:val="da-DK"/>
              </w:rPr>
            </w:pPr>
            <w:proofErr w:type="spellStart"/>
            <w:r w:rsidRPr="00080167">
              <w:rPr>
                <w:rFonts w:ascii="Arial" w:hAnsi="Arial" w:cs="Arial"/>
                <w:i/>
                <w:iCs/>
                <w:color w:val="000000"/>
                <w:sz w:val="20"/>
                <w:szCs w:val="20"/>
                <w:lang w:val="da-DK"/>
              </w:rPr>
              <w:t>Kilde:Hjarns</w:t>
            </w:r>
            <w:proofErr w:type="spellEnd"/>
            <w:r w:rsidRPr="00080167">
              <w:rPr>
                <w:rFonts w:ascii="Arial" w:hAnsi="Arial" w:cs="Arial"/>
                <w:i/>
                <w:iCs/>
                <w:color w:val="000000"/>
                <w:sz w:val="20"/>
                <w:szCs w:val="20"/>
                <w:lang w:val="da-DK"/>
              </w:rPr>
              <w:t>/Jakobs/Kaspers data</w:t>
            </w:r>
          </w:p>
        </w:tc>
      </w:tr>
    </w:tbl>
    <w:p w:rsidR="00F53ECA" w:rsidRDefault="00F53ECA" w:rsidP="00B51C0E">
      <w:pPr>
        <w:spacing w:line="360" w:lineRule="auto"/>
        <w:rPr>
          <w:rFonts w:eastAsiaTheme="minorEastAsia"/>
          <w:lang w:val="da-DK"/>
        </w:rPr>
      </w:pPr>
    </w:p>
    <w:p w:rsidR="00C843C9" w:rsidRDefault="00C843C9" w:rsidP="00B51C0E">
      <w:pPr>
        <w:spacing w:line="360" w:lineRule="auto"/>
        <w:rPr>
          <w:rFonts w:eastAsiaTheme="minorEastAsia"/>
          <w:lang w:val="da-DK"/>
        </w:rPr>
      </w:pPr>
      <w:r>
        <w:rPr>
          <w:rFonts w:eastAsiaTheme="minorEastAsia"/>
          <w:lang w:val="da-DK"/>
        </w:rPr>
        <w:t xml:space="preserve">Når disse er fundet kan </w:t>
      </w:r>
      <w:proofErr w:type="spellStart"/>
      <w:r>
        <w:rPr>
          <w:rFonts w:eastAsiaTheme="minorEastAsia"/>
          <w:lang w:val="da-DK"/>
        </w:rPr>
        <w:t>boxplottet</w:t>
      </w:r>
      <w:proofErr w:type="spellEnd"/>
      <w:r>
        <w:rPr>
          <w:rFonts w:eastAsiaTheme="minorEastAsia"/>
          <w:lang w:val="da-DK"/>
        </w:rPr>
        <w:t xml:space="preserve"> opstilles. </w:t>
      </w:r>
      <w:r w:rsidR="00CC2148">
        <w:rPr>
          <w:rFonts w:eastAsiaTheme="minorEastAsia"/>
          <w:lang w:val="da-DK"/>
        </w:rPr>
        <w:t xml:space="preserve">Dette viser grafisk alle punkterne på nær middelværdien. Her kan man lettere se fordelingen af størrelser. </w:t>
      </w:r>
    </w:p>
    <w:p w:rsidR="00F53ECA" w:rsidRDefault="00F53ECA" w:rsidP="00B51C0E">
      <w:pPr>
        <w:spacing w:line="360" w:lineRule="auto"/>
        <w:rPr>
          <w:rFonts w:eastAsiaTheme="minorEastAsia"/>
          <w:lang w:val="da-DK"/>
        </w:rPr>
      </w:pPr>
      <w:r>
        <w:rPr>
          <w:noProof/>
        </w:rPr>
        <w:lastRenderedPageBreak/>
        <w:drawing>
          <wp:inline distT="0" distB="0" distL="0" distR="0" wp14:anchorId="7399C4A6" wp14:editId="1AB46672">
            <wp:extent cx="4572000" cy="2743200"/>
            <wp:effectExtent l="0" t="0" r="12700" b="12700"/>
            <wp:docPr id="1" name="Chart 1">
              <a:extLst xmlns:a="http://schemas.openxmlformats.org/drawingml/2006/main">
                <a:ext uri="{FF2B5EF4-FFF2-40B4-BE49-F238E27FC236}">
                  <a16:creationId xmlns:a16="http://schemas.microsoft.com/office/drawing/2014/main" id="{BDB78BD7-73EF-6846-9FF7-7DD4D11454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C2148" w:rsidRDefault="00CC2148" w:rsidP="00B51C0E">
      <w:pPr>
        <w:spacing w:line="360" w:lineRule="auto"/>
        <w:rPr>
          <w:rFonts w:eastAsiaTheme="minorEastAsia"/>
          <w:lang w:val="da-DK"/>
        </w:rPr>
      </w:pPr>
    </w:p>
    <w:p w:rsidR="00CC2148" w:rsidRDefault="00CC2148" w:rsidP="00B51C0E">
      <w:pPr>
        <w:spacing w:line="360" w:lineRule="auto"/>
        <w:rPr>
          <w:rFonts w:eastAsiaTheme="minorEastAsia"/>
          <w:lang w:val="da-DK"/>
        </w:rPr>
      </w:pPr>
      <w:r>
        <w:rPr>
          <w:rFonts w:eastAsiaTheme="minorEastAsia"/>
          <w:lang w:val="da-DK"/>
        </w:rPr>
        <w:t xml:space="preserve">Det kan udledes at spredningen i fordelingen er størst i 2010 jf. figur 2.1. Dette kan ses pga. boksen er højere i 2010 ift. 2000. </w:t>
      </w:r>
      <w:r w:rsidR="00080167">
        <w:rPr>
          <w:rFonts w:eastAsiaTheme="minorEastAsia"/>
          <w:lang w:val="da-DK"/>
        </w:rPr>
        <w:t xml:space="preserve">Dog er i begge år en </w:t>
      </w:r>
      <w:proofErr w:type="spellStart"/>
      <w:r w:rsidR="00080167">
        <w:rPr>
          <w:rFonts w:eastAsiaTheme="minorEastAsia"/>
          <w:lang w:val="da-DK"/>
        </w:rPr>
        <w:t>højreskæv</w:t>
      </w:r>
      <w:proofErr w:type="spellEnd"/>
      <w:r w:rsidR="00080167">
        <w:rPr>
          <w:rFonts w:eastAsiaTheme="minorEastAsia"/>
          <w:lang w:val="da-DK"/>
        </w:rPr>
        <w:t xml:space="preserve"> fordeling. Dette kan ses, fordi afstanden fra medianen op til den øvre kvartil er større end afstanden fra medianen og ned til nedre kvartil. Samme scenarie er tydeligt for begge år. Samtidig er gennemsnittet også større en medianen, hvilket kun styrker ræsonnementet. Den er ikke meget </w:t>
      </w:r>
      <w:proofErr w:type="spellStart"/>
      <w:r w:rsidR="00080167">
        <w:rPr>
          <w:rFonts w:eastAsiaTheme="minorEastAsia"/>
          <w:lang w:val="da-DK"/>
        </w:rPr>
        <w:t>højreskæv</w:t>
      </w:r>
      <w:proofErr w:type="spellEnd"/>
      <w:r w:rsidR="00080167">
        <w:rPr>
          <w:rFonts w:eastAsiaTheme="minorEastAsia"/>
          <w:lang w:val="da-DK"/>
        </w:rPr>
        <w:t xml:space="preserve">, men </w:t>
      </w:r>
      <w:proofErr w:type="spellStart"/>
      <w:r w:rsidR="00080167">
        <w:rPr>
          <w:rFonts w:eastAsiaTheme="minorEastAsia"/>
          <w:lang w:val="da-DK"/>
        </w:rPr>
        <w:t>højreskæv</w:t>
      </w:r>
      <w:proofErr w:type="spellEnd"/>
      <w:r w:rsidR="00080167">
        <w:rPr>
          <w:rFonts w:eastAsiaTheme="minorEastAsia"/>
          <w:lang w:val="da-DK"/>
        </w:rPr>
        <w:t xml:space="preserve"> er den. </w:t>
      </w:r>
    </w:p>
    <w:p w:rsidR="00080167" w:rsidRDefault="00080167" w:rsidP="00B51C0E">
      <w:pPr>
        <w:spacing w:line="360" w:lineRule="auto"/>
        <w:rPr>
          <w:rFonts w:eastAsiaTheme="minorEastAsia"/>
          <w:lang w:val="da-DK"/>
        </w:rPr>
      </w:pPr>
    </w:p>
    <w:p w:rsidR="00080167" w:rsidRDefault="00B51435" w:rsidP="00B51C0E">
      <w:pPr>
        <w:spacing w:line="360" w:lineRule="auto"/>
        <w:rPr>
          <w:rFonts w:eastAsiaTheme="minorEastAsia"/>
          <w:lang w:val="da-DK"/>
        </w:rPr>
      </w:pPr>
      <w:r>
        <w:rPr>
          <w:rFonts w:eastAsiaTheme="minorEastAsia"/>
          <w:lang w:val="da-DK"/>
        </w:rPr>
        <w:t xml:space="preserve">For at finde størrelsesuligheden vil denne opgave gøre brug af en Lorenz kurve og en beregning for den maksimale udjævningsgrad. </w:t>
      </w:r>
      <w:r w:rsidR="00D24733">
        <w:rPr>
          <w:rFonts w:eastAsiaTheme="minorEastAsia"/>
          <w:lang w:val="da-DK"/>
        </w:rPr>
        <w:t xml:space="preserve">Dette mål bruges til at finde uligheden mellem størrelserne af køerne. </w:t>
      </w:r>
    </w:p>
    <w:p w:rsidR="00D24733" w:rsidRDefault="00D24733" w:rsidP="00B51C0E">
      <w:pPr>
        <w:spacing w:line="360" w:lineRule="auto"/>
        <w:rPr>
          <w:rFonts w:eastAsiaTheme="minorEastAsia"/>
          <w:lang w:val="da-DK"/>
        </w:rPr>
      </w:pPr>
      <w:r>
        <w:rPr>
          <w:rFonts w:eastAsiaTheme="minorEastAsia"/>
          <w:lang w:val="da-DK"/>
        </w:rPr>
        <w:t xml:space="preserve">      For at opstille denne skal man først kumulere alle deltage ko. Dette gøres ved at give hver ko en vægt. Da der i dette datasæt er 25 køer, for hver ko en vægt på 4. Igen er de sorteret fra mindst til størst. Beregningen er følgende: </w:t>
      </w:r>
    </w:p>
    <w:p w:rsidR="00D24733" w:rsidRPr="00D24733" w:rsidRDefault="0053119C" w:rsidP="00B51C0E">
      <w:pPr>
        <w:spacing w:line="360" w:lineRule="auto"/>
        <w:rPr>
          <w:rFonts w:eastAsiaTheme="minorEastAsia"/>
          <w:lang w:val="da-DK"/>
        </w:rPr>
      </w:pPr>
      <m:oMathPara>
        <m:oMath>
          <m:f>
            <m:fPr>
              <m:ctrlPr>
                <w:rPr>
                  <w:rFonts w:ascii="Cambria Math" w:eastAsiaTheme="minorEastAsia" w:hAnsi="Cambria Math"/>
                  <w:i/>
                  <w:lang w:val="da-DK"/>
                </w:rPr>
              </m:ctrlPr>
            </m:fPr>
            <m:num>
              <m:r>
                <w:rPr>
                  <w:rFonts w:ascii="Cambria Math" w:eastAsiaTheme="minorEastAsia" w:hAnsi="Cambria Math"/>
                  <w:lang w:val="da-DK"/>
                </w:rPr>
                <m:t>Nummer</m:t>
              </m:r>
            </m:num>
            <m:den>
              <m:r>
                <w:rPr>
                  <w:rFonts w:ascii="Cambria Math" w:eastAsiaTheme="minorEastAsia" w:hAnsi="Cambria Math"/>
                  <w:lang w:val="da-DK"/>
                </w:rPr>
                <m:t>Summen af alle antal</m:t>
              </m:r>
            </m:den>
          </m:f>
          <m:r>
            <w:rPr>
              <w:rFonts w:ascii="Cambria Math" w:eastAsiaTheme="minorEastAsia" w:hAnsi="Cambria Math"/>
              <w:lang w:val="da-DK"/>
            </w:rPr>
            <m:t>=vægt</m:t>
          </m:r>
        </m:oMath>
      </m:oMathPara>
    </w:p>
    <w:p w:rsidR="00D24733" w:rsidRDefault="00D24733" w:rsidP="00B51C0E">
      <w:pPr>
        <w:spacing w:line="360" w:lineRule="auto"/>
        <w:rPr>
          <w:rFonts w:eastAsiaTheme="minorEastAsia"/>
          <w:lang w:val="da-DK"/>
        </w:rPr>
      </w:pPr>
      <w:r>
        <w:rPr>
          <w:rFonts w:eastAsiaTheme="minorEastAsia"/>
          <w:lang w:val="da-DK"/>
        </w:rPr>
        <w:t xml:space="preserve">Disse kumuleres efterfølgende, så de til sidst giver 1. Efterfølgende kumuleres først køernes vægt. Denne skal starte i nul. Beregningen lyder følgende: </w:t>
      </w:r>
    </w:p>
    <w:p w:rsidR="00D24733" w:rsidRDefault="00D24733" w:rsidP="00B51C0E">
      <w:pPr>
        <w:spacing w:line="360" w:lineRule="auto"/>
        <w:rPr>
          <w:rFonts w:eastAsiaTheme="minorEastAsia"/>
          <w:lang w:val="da-DK"/>
        </w:rPr>
      </w:pPr>
      <m:oMathPara>
        <m:oMath>
          <m:r>
            <w:rPr>
              <w:rFonts w:ascii="Cambria Math" w:eastAsiaTheme="minorEastAsia" w:hAnsi="Cambria Math"/>
              <w:lang w:val="da-DK"/>
            </w:rPr>
            <m:t>0=0</m:t>
          </m:r>
        </m:oMath>
      </m:oMathPara>
    </w:p>
    <w:p w:rsidR="00D24733" w:rsidRDefault="00D24733" w:rsidP="00B51C0E">
      <w:pPr>
        <w:spacing w:line="360" w:lineRule="auto"/>
        <w:rPr>
          <w:rFonts w:eastAsiaTheme="minorEastAsia"/>
          <w:lang w:val="da-DK"/>
        </w:rPr>
      </w:pPr>
      <m:oMathPara>
        <m:oMath>
          <m:r>
            <w:rPr>
              <w:rFonts w:ascii="Cambria Math" w:eastAsiaTheme="minorEastAsia" w:hAnsi="Cambria Math"/>
              <w:lang w:val="da-DK"/>
            </w:rPr>
            <m:t>Størrelse ko 1=A</m:t>
          </m:r>
        </m:oMath>
      </m:oMathPara>
    </w:p>
    <w:p w:rsidR="00D24733" w:rsidRDefault="00E63B2E" w:rsidP="00B51C0E">
      <w:pPr>
        <w:spacing w:line="360" w:lineRule="auto"/>
        <w:rPr>
          <w:rFonts w:eastAsiaTheme="minorEastAsia"/>
          <w:lang w:val="da-DK"/>
        </w:rPr>
      </w:pPr>
      <m:oMathPara>
        <m:oMath>
          <m:r>
            <w:rPr>
              <w:rFonts w:ascii="Cambria Math" w:eastAsiaTheme="minorEastAsia" w:hAnsi="Cambria Math"/>
              <w:lang w:val="da-DK"/>
            </w:rPr>
            <m:t>A+størrelse ko 2=B</m:t>
          </m:r>
          <m:r>
            <m:rPr>
              <m:sty m:val="p"/>
            </m:rPr>
            <w:rPr>
              <w:rFonts w:ascii="Cambria Math" w:eastAsiaTheme="minorEastAsia" w:hAnsi="Cambria Math"/>
              <w:lang w:val="da-DK"/>
            </w:rPr>
            <w:br/>
          </m:r>
        </m:oMath>
        <m:oMath>
          <m:r>
            <w:rPr>
              <w:rFonts w:ascii="Cambria Math" w:eastAsiaTheme="minorEastAsia" w:hAnsi="Cambria Math"/>
              <w:lang w:val="da-DK"/>
            </w:rPr>
            <m:t>B+størrelse ko 3=C</m:t>
          </m:r>
        </m:oMath>
      </m:oMathPara>
    </w:p>
    <w:p w:rsidR="00E63B2E" w:rsidRDefault="00E63B2E" w:rsidP="00B51C0E">
      <w:pPr>
        <w:spacing w:line="360" w:lineRule="auto"/>
        <w:rPr>
          <w:rFonts w:eastAsiaTheme="minorEastAsia"/>
          <w:lang w:val="da-DK"/>
        </w:rPr>
      </w:pPr>
      <w:r>
        <w:rPr>
          <w:rFonts w:eastAsiaTheme="minorEastAsia"/>
          <w:lang w:val="da-DK"/>
        </w:rPr>
        <w:lastRenderedPageBreak/>
        <w:t xml:space="preserve">Når alle størrelserne er kumuleret, dividerer man hver størrelse med den samlede kumulerede værdi. Dette giver den kumulerede procent del. Formlen lyder: </w:t>
      </w:r>
    </w:p>
    <w:p w:rsidR="00E63B2E" w:rsidRPr="00E63B2E" w:rsidRDefault="0053119C" w:rsidP="00B51C0E">
      <w:pPr>
        <w:spacing w:line="360" w:lineRule="auto"/>
        <w:rPr>
          <w:rFonts w:eastAsiaTheme="minorEastAsia"/>
          <w:lang w:val="da-DK"/>
        </w:rPr>
      </w:pPr>
      <m:oMathPara>
        <m:oMath>
          <m:f>
            <m:fPr>
              <m:ctrlPr>
                <w:rPr>
                  <w:rFonts w:ascii="Cambria Math" w:eastAsiaTheme="minorEastAsia" w:hAnsi="Cambria Math"/>
                  <w:i/>
                  <w:lang w:val="da-DK"/>
                </w:rPr>
              </m:ctrlPr>
            </m:fPr>
            <m:num>
              <m:r>
                <w:rPr>
                  <w:rFonts w:ascii="Cambria Math" w:eastAsiaTheme="minorEastAsia" w:hAnsi="Cambria Math"/>
                  <w:lang w:val="da-DK"/>
                </w:rPr>
                <m:t>A</m:t>
              </m:r>
            </m:num>
            <m:den>
              <m:r>
                <w:rPr>
                  <w:rFonts w:ascii="Cambria Math" w:eastAsiaTheme="minorEastAsia" w:hAnsi="Cambria Math"/>
                  <w:lang w:val="da-DK"/>
                </w:rPr>
                <m:t>Den kumulerede værdi af størrelser</m:t>
              </m:r>
            </m:den>
          </m:f>
          <m:r>
            <w:rPr>
              <w:rFonts w:ascii="Cambria Math" w:eastAsiaTheme="minorEastAsia" w:hAnsi="Cambria Math"/>
              <w:lang w:val="da-DK"/>
            </w:rPr>
            <m:t>=kumuleret procentdel</m:t>
          </m:r>
        </m:oMath>
      </m:oMathPara>
    </w:p>
    <w:p w:rsidR="00E63B2E" w:rsidRDefault="00E63B2E" w:rsidP="00B51C0E">
      <w:pPr>
        <w:spacing w:line="360" w:lineRule="auto"/>
        <w:rPr>
          <w:rFonts w:eastAsiaTheme="minorEastAsia"/>
          <w:lang w:val="da-DK"/>
        </w:rPr>
      </w:pPr>
      <w:r>
        <w:rPr>
          <w:rFonts w:eastAsiaTheme="minorEastAsia"/>
          <w:lang w:val="da-DK"/>
        </w:rPr>
        <w:t xml:space="preserve">Dette gøres for alle værdier fundet tidligere. Altså A, B, C osv. </w:t>
      </w:r>
    </w:p>
    <w:p w:rsidR="00E63B2E" w:rsidRDefault="00E63B2E" w:rsidP="00B51C0E">
      <w:pPr>
        <w:spacing w:line="360" w:lineRule="auto"/>
        <w:rPr>
          <w:rFonts w:eastAsiaTheme="minorEastAsia"/>
          <w:lang w:val="da-DK"/>
        </w:rPr>
      </w:pPr>
      <w:r>
        <w:rPr>
          <w:rFonts w:eastAsiaTheme="minorEastAsia"/>
          <w:lang w:val="da-DK"/>
        </w:rPr>
        <w:t xml:space="preserve">Alle disse kumulerede procentdele skal summere til 1. For at vise dette grafisk lave man et </w:t>
      </w:r>
      <w:proofErr w:type="spellStart"/>
      <w:r>
        <w:rPr>
          <w:rFonts w:eastAsiaTheme="minorEastAsia"/>
          <w:lang w:val="da-DK"/>
        </w:rPr>
        <w:t>scatterplot</w:t>
      </w:r>
      <w:proofErr w:type="spellEnd"/>
      <w:r>
        <w:rPr>
          <w:rFonts w:eastAsiaTheme="minorEastAsia"/>
          <w:lang w:val="da-DK"/>
        </w:rPr>
        <w:t xml:space="preserve"> med linjer. Dette gøres med køernes vægt ud af første aksen og de kumulerede størrelser op ad anden aksen. </w:t>
      </w:r>
    </w:p>
    <w:p w:rsidR="00E63B2E" w:rsidRDefault="00E63B2E" w:rsidP="00B51C0E">
      <w:pPr>
        <w:spacing w:line="360" w:lineRule="auto"/>
        <w:rPr>
          <w:rFonts w:eastAsiaTheme="minorEastAsia"/>
          <w:lang w:val="da-DK"/>
        </w:rPr>
      </w:pPr>
    </w:p>
    <w:p w:rsidR="00E63B2E" w:rsidRDefault="00E63B2E" w:rsidP="00B51C0E">
      <w:pPr>
        <w:spacing w:line="360" w:lineRule="auto"/>
        <w:rPr>
          <w:rFonts w:eastAsiaTheme="minorEastAsia"/>
          <w:lang w:val="da-DK"/>
        </w:rPr>
      </w:pPr>
      <w:r>
        <w:rPr>
          <w:rFonts w:eastAsiaTheme="minorEastAsia"/>
          <w:lang w:val="da-DK"/>
        </w:rPr>
        <w:t xml:space="preserve">Efterfølgende skal den maksimale udjævningsgrad også findes. Dette gøres ved følgende formel: </w:t>
      </w:r>
    </w:p>
    <w:p w:rsidR="00E63B2E" w:rsidRPr="00E63B2E" w:rsidRDefault="0053119C" w:rsidP="00B51C0E">
      <w:pPr>
        <w:spacing w:line="360" w:lineRule="auto"/>
        <w:rPr>
          <w:rFonts w:eastAsiaTheme="minorEastAsia"/>
          <w:lang w:val="da-DK"/>
        </w:rPr>
      </w:pPr>
      <m:oMathPara>
        <m:oMath>
          <m:f>
            <m:fPr>
              <m:ctrlPr>
                <w:rPr>
                  <w:rFonts w:ascii="Cambria Math" w:eastAsiaTheme="minorEastAsia" w:hAnsi="Cambria Math"/>
                  <w:i/>
                  <w:lang w:val="da-DK"/>
                </w:rPr>
              </m:ctrlPr>
            </m:fPr>
            <m:num>
              <m:nary>
                <m:naryPr>
                  <m:chr m:val="∑"/>
                  <m:limLoc m:val="undOvr"/>
                  <m:ctrlPr>
                    <w:rPr>
                      <w:rFonts w:ascii="Cambria Math" w:eastAsiaTheme="minorEastAsia" w:hAnsi="Cambria Math"/>
                      <w:i/>
                      <w:lang w:val="da-DK"/>
                    </w:rPr>
                  </m:ctrlPr>
                </m:naryPr>
                <m:sub>
                  <m:r>
                    <w:rPr>
                      <w:rFonts w:ascii="Cambria Math" w:eastAsiaTheme="minorEastAsia" w:hAnsi="Cambria Math"/>
                      <w:lang w:val="da-DK"/>
                    </w:rPr>
                    <m:t>i=1</m:t>
                  </m:r>
                </m:sub>
                <m:sup>
                  <m:r>
                    <w:rPr>
                      <w:rFonts w:ascii="Cambria Math" w:eastAsiaTheme="minorEastAsia" w:hAnsi="Cambria Math"/>
                      <w:lang w:val="da-DK"/>
                    </w:rPr>
                    <m:t>n</m:t>
                  </m:r>
                </m:sup>
                <m:e>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1</m:t>
                      </m:r>
                    </m:sub>
                  </m:sSub>
                </m:e>
              </m:nary>
              <m:r>
                <w:rPr>
                  <w:rFonts w:ascii="Cambria Math" w:eastAsiaTheme="minorEastAsia" w:hAnsi="Cambria Math"/>
                  <w:lang w:val="da-DK"/>
                </w:rPr>
                <m:t>-</m:t>
              </m:r>
              <m:sSub>
                <m:sSubPr>
                  <m:ctrlPr>
                    <w:rPr>
                      <w:rFonts w:ascii="Cambria Math" w:eastAsiaTheme="minorEastAsia" w:hAnsi="Cambria Math"/>
                      <w:i/>
                      <w:lang w:val="da-DK"/>
                    </w:rPr>
                  </m:ctrlPr>
                </m:sSubPr>
                <m:e>
                  <m:r>
                    <w:rPr>
                      <w:rFonts w:ascii="Cambria Math" w:eastAsiaTheme="minorEastAsia" w:hAnsi="Cambria Math"/>
                      <w:lang w:val="da-DK"/>
                    </w:rPr>
                    <m:t>x</m:t>
                  </m:r>
                </m:e>
                <m:sub>
                  <m:r>
                    <w:rPr>
                      <w:rFonts w:ascii="Cambria Math" w:eastAsiaTheme="minorEastAsia" w:hAnsi="Cambria Math"/>
                      <w:lang w:val="da-DK"/>
                    </w:rPr>
                    <m:t>0</m:t>
                  </m:r>
                </m:sub>
              </m:sSub>
              <m:r>
                <w:rPr>
                  <w:rFonts w:ascii="Cambria Math" w:eastAsiaTheme="minorEastAsia" w:hAnsi="Cambria Math"/>
                  <w:lang w:val="da-DK"/>
                </w:rPr>
                <m:t>|</m:t>
              </m:r>
            </m:num>
            <m:den>
              <m:r>
                <w:rPr>
                  <w:rFonts w:ascii="Cambria Math" w:eastAsiaTheme="minorEastAsia" w:hAnsi="Cambria Math"/>
                  <w:lang w:val="da-DK"/>
                </w:rPr>
                <m:t>2nx</m:t>
              </m:r>
            </m:den>
          </m:f>
          <m:r>
            <w:rPr>
              <w:rFonts w:ascii="Cambria Math" w:eastAsiaTheme="minorEastAsia" w:hAnsi="Cambria Math"/>
              <w:lang w:val="da-DK"/>
            </w:rPr>
            <m:t>·100</m:t>
          </m:r>
        </m:oMath>
      </m:oMathPara>
    </w:p>
    <w:p w:rsidR="00E63B2E" w:rsidRDefault="00E63B2E" w:rsidP="00B51C0E">
      <w:pPr>
        <w:spacing w:line="360" w:lineRule="auto"/>
        <w:rPr>
          <w:rFonts w:eastAsiaTheme="minorEastAsia"/>
          <w:lang w:val="da-DK"/>
        </w:rPr>
      </w:pPr>
      <w:r>
        <w:rPr>
          <w:rFonts w:eastAsiaTheme="minorEastAsia"/>
          <w:lang w:val="da-DK"/>
        </w:rPr>
        <w:t xml:space="preserve">Denne findes ved at tage afstanden til middelværdien og summere dette. Jeg har dog ændret en smule på formlen. Jeg har hævet de numeriske tegn, og undladt at dividere med 2. Jeg bruger derfor kun de positive forskelle mellem de forskellige størrelser og </w:t>
      </w:r>
      <w:r w:rsidR="004A3B44">
        <w:rPr>
          <w:rFonts w:eastAsiaTheme="minorEastAsia"/>
          <w:lang w:val="da-DK"/>
        </w:rPr>
        <w:t xml:space="preserve">gennemsnittet. </w:t>
      </w:r>
    </w:p>
    <w:p w:rsidR="004A3B44" w:rsidRDefault="004A3B44" w:rsidP="00B51C0E">
      <w:pPr>
        <w:spacing w:line="360" w:lineRule="auto"/>
        <w:rPr>
          <w:rFonts w:eastAsiaTheme="minorEastAsia"/>
          <w:lang w:val="da-DK"/>
        </w:rPr>
      </w:pPr>
      <w:r>
        <w:rPr>
          <w:rFonts w:eastAsiaTheme="minorEastAsia"/>
          <w:lang w:val="da-DK"/>
        </w:rPr>
        <w:t xml:space="preserve">Udjævningsgraden for 2000 ser derfor ud som følgende: </w:t>
      </w:r>
    </w:p>
    <w:p w:rsidR="004A3B44" w:rsidRPr="004A3B44" w:rsidRDefault="0053119C" w:rsidP="00B51C0E">
      <w:pPr>
        <w:spacing w:line="360" w:lineRule="auto"/>
        <w:rPr>
          <w:rFonts w:eastAsiaTheme="minorEastAsia"/>
          <w:lang w:val="da-DK"/>
        </w:rPr>
      </w:pPr>
      <m:oMathPara>
        <m:oMath>
          <m:f>
            <m:fPr>
              <m:ctrlPr>
                <w:rPr>
                  <w:rFonts w:ascii="Cambria Math" w:eastAsiaTheme="minorEastAsia" w:hAnsi="Cambria Math"/>
                  <w:i/>
                  <w:lang w:val="da-DK"/>
                </w:rPr>
              </m:ctrlPr>
            </m:fPr>
            <m:num>
              <m:r>
                <w:rPr>
                  <w:rFonts w:ascii="Cambria Math" w:eastAsiaTheme="minorEastAsia" w:hAnsi="Cambria Math"/>
                  <w:lang w:val="da-DK"/>
                </w:rPr>
                <m:t>1470,2</m:t>
              </m:r>
            </m:num>
            <m:den>
              <m:r>
                <w:rPr>
                  <w:rFonts w:ascii="Cambria Math" w:eastAsiaTheme="minorEastAsia" w:hAnsi="Cambria Math"/>
                  <w:lang w:val="da-DK"/>
                </w:rPr>
                <m:t>4358</m:t>
              </m:r>
            </m:den>
          </m:f>
          <m:r>
            <w:rPr>
              <w:rFonts w:ascii="Cambria Math" w:eastAsiaTheme="minorEastAsia" w:hAnsi="Cambria Math"/>
              <w:lang w:val="da-DK"/>
            </w:rPr>
            <m:t>·100=33,73 pct</m:t>
          </m:r>
        </m:oMath>
      </m:oMathPara>
    </w:p>
    <w:p w:rsidR="004A3B44" w:rsidRDefault="004A3B44" w:rsidP="00B51C0E">
      <w:pPr>
        <w:spacing w:line="360" w:lineRule="auto"/>
        <w:rPr>
          <w:rFonts w:eastAsiaTheme="minorEastAsia"/>
          <w:lang w:val="da-DK"/>
        </w:rPr>
      </w:pPr>
      <w:r>
        <w:rPr>
          <w:rFonts w:eastAsiaTheme="minorEastAsia"/>
          <w:lang w:val="da-DK"/>
        </w:rPr>
        <w:t xml:space="preserve">Udjævningsgrader er beregnet til at være: </w:t>
      </w:r>
    </w:p>
    <w:tbl>
      <w:tblPr>
        <w:tblW w:w="2953" w:type="dxa"/>
        <w:tblInd w:w="3043" w:type="dxa"/>
        <w:tblLook w:val="04A0" w:firstRow="1" w:lastRow="0" w:firstColumn="1" w:lastColumn="0" w:noHBand="0" w:noVBand="1"/>
      </w:tblPr>
      <w:tblGrid>
        <w:gridCol w:w="1280"/>
        <w:gridCol w:w="1673"/>
      </w:tblGrid>
      <w:tr w:rsidR="004A3B44" w:rsidRPr="004A3B44" w:rsidTr="004A3B44">
        <w:trPr>
          <w:trHeight w:val="260"/>
        </w:trPr>
        <w:tc>
          <w:tcPr>
            <w:tcW w:w="1280" w:type="dxa"/>
            <w:tcBorders>
              <w:top w:val="single" w:sz="4" w:space="0" w:color="FFFFFF"/>
              <w:left w:val="nil"/>
              <w:bottom w:val="single" w:sz="4" w:space="0" w:color="FFFFFF"/>
              <w:right w:val="single" w:sz="4" w:space="0" w:color="FFFFFF"/>
            </w:tcBorders>
            <w:shd w:val="clear" w:color="D8E4BC" w:fill="D8E4BC"/>
            <w:noWrap/>
            <w:vAlign w:val="bottom"/>
            <w:hideMark/>
          </w:tcPr>
          <w:p w:rsidR="004A3B44" w:rsidRPr="004A3B44" w:rsidRDefault="004A3B44" w:rsidP="004A3B44">
            <w:pPr>
              <w:rPr>
                <w:rFonts w:ascii="Arial" w:eastAsia="Times New Roman" w:hAnsi="Arial" w:cs="Arial"/>
                <w:color w:val="000000"/>
                <w:sz w:val="20"/>
                <w:szCs w:val="20"/>
                <w:lang w:eastAsia="en-GB"/>
              </w:rPr>
            </w:pPr>
            <w:proofErr w:type="spellStart"/>
            <w:r w:rsidRPr="004A3B44">
              <w:rPr>
                <w:rFonts w:ascii="Arial" w:eastAsia="Times New Roman" w:hAnsi="Arial" w:cs="Arial"/>
                <w:color w:val="000000"/>
                <w:sz w:val="20"/>
                <w:szCs w:val="20"/>
                <w:lang w:eastAsia="en-GB"/>
              </w:rPr>
              <w:t>Tabel</w:t>
            </w:r>
            <w:proofErr w:type="spellEnd"/>
            <w:r w:rsidRPr="004A3B44">
              <w:rPr>
                <w:rFonts w:ascii="Arial" w:eastAsia="Times New Roman" w:hAnsi="Arial" w:cs="Arial"/>
                <w:color w:val="000000"/>
                <w:sz w:val="20"/>
                <w:szCs w:val="20"/>
                <w:lang w:eastAsia="en-GB"/>
              </w:rPr>
              <w:t xml:space="preserve"> 2.2</w:t>
            </w:r>
          </w:p>
        </w:tc>
        <w:tc>
          <w:tcPr>
            <w:tcW w:w="1673" w:type="dxa"/>
            <w:tcBorders>
              <w:top w:val="single" w:sz="4" w:space="0" w:color="FFFFFF"/>
              <w:left w:val="single" w:sz="4" w:space="0" w:color="FFFFFF"/>
              <w:bottom w:val="single" w:sz="4" w:space="0" w:color="FFFFFF"/>
              <w:right w:val="nil"/>
            </w:tcBorders>
            <w:shd w:val="clear" w:color="D8E4BC" w:fill="D8E4BC"/>
            <w:noWrap/>
            <w:vAlign w:val="bottom"/>
            <w:hideMark/>
          </w:tcPr>
          <w:p w:rsidR="004A3B44" w:rsidRPr="004A3B44" w:rsidRDefault="004A3B44" w:rsidP="004A3B44">
            <w:pPr>
              <w:rPr>
                <w:rFonts w:ascii="Arial" w:eastAsia="Times New Roman" w:hAnsi="Arial" w:cs="Arial"/>
                <w:color w:val="000000"/>
                <w:sz w:val="20"/>
                <w:szCs w:val="20"/>
                <w:lang w:eastAsia="en-GB"/>
              </w:rPr>
            </w:pPr>
            <w:proofErr w:type="spellStart"/>
            <w:r w:rsidRPr="004A3B44">
              <w:rPr>
                <w:rFonts w:ascii="Arial" w:eastAsia="Times New Roman" w:hAnsi="Arial" w:cs="Arial"/>
                <w:color w:val="000000"/>
                <w:sz w:val="20"/>
                <w:szCs w:val="20"/>
                <w:lang w:eastAsia="en-GB"/>
              </w:rPr>
              <w:t>Udjævningsgrad</w:t>
            </w:r>
            <w:proofErr w:type="spellEnd"/>
          </w:p>
        </w:tc>
      </w:tr>
      <w:tr w:rsidR="004A3B44" w:rsidRPr="004A3B44" w:rsidTr="004A3B44">
        <w:trPr>
          <w:trHeight w:val="260"/>
        </w:trPr>
        <w:tc>
          <w:tcPr>
            <w:tcW w:w="1280" w:type="dxa"/>
            <w:tcBorders>
              <w:top w:val="single" w:sz="4" w:space="0" w:color="FFFFFF"/>
              <w:left w:val="nil"/>
              <w:bottom w:val="single" w:sz="4" w:space="0" w:color="FFFFFF"/>
              <w:right w:val="single" w:sz="4" w:space="0" w:color="FFFFFF"/>
            </w:tcBorders>
            <w:shd w:val="clear" w:color="EBF1DE" w:fill="EBF1DE"/>
            <w:noWrap/>
            <w:vAlign w:val="bottom"/>
            <w:hideMark/>
          </w:tcPr>
          <w:p w:rsidR="004A3B44" w:rsidRPr="004A3B44" w:rsidRDefault="004A3B44" w:rsidP="004A3B44">
            <w:pPr>
              <w:jc w:val="right"/>
              <w:rPr>
                <w:rFonts w:ascii="Arial" w:eastAsia="Times New Roman" w:hAnsi="Arial" w:cs="Arial"/>
                <w:color w:val="000000"/>
                <w:sz w:val="20"/>
                <w:szCs w:val="20"/>
                <w:lang w:eastAsia="en-GB"/>
              </w:rPr>
            </w:pPr>
            <w:r w:rsidRPr="004A3B44">
              <w:rPr>
                <w:rFonts w:ascii="Arial" w:eastAsia="Times New Roman" w:hAnsi="Arial" w:cs="Arial"/>
                <w:color w:val="000000"/>
                <w:sz w:val="20"/>
                <w:szCs w:val="20"/>
                <w:lang w:eastAsia="en-GB"/>
              </w:rPr>
              <w:t>2000</w:t>
            </w:r>
          </w:p>
        </w:tc>
        <w:tc>
          <w:tcPr>
            <w:tcW w:w="1673" w:type="dxa"/>
            <w:tcBorders>
              <w:top w:val="single" w:sz="4" w:space="0" w:color="FFFFFF"/>
              <w:left w:val="single" w:sz="4" w:space="0" w:color="FFFFFF"/>
              <w:bottom w:val="single" w:sz="4" w:space="0" w:color="FFFFFF"/>
              <w:right w:val="nil"/>
            </w:tcBorders>
            <w:shd w:val="clear" w:color="EBF1DE" w:fill="EBF1DE"/>
            <w:noWrap/>
            <w:vAlign w:val="bottom"/>
            <w:hideMark/>
          </w:tcPr>
          <w:p w:rsidR="004A3B44" w:rsidRPr="004A3B44" w:rsidRDefault="004A3B44" w:rsidP="004A3B44">
            <w:pPr>
              <w:jc w:val="right"/>
              <w:rPr>
                <w:rFonts w:ascii="Arial" w:eastAsia="Times New Roman" w:hAnsi="Arial" w:cs="Arial"/>
                <w:color w:val="000000"/>
                <w:sz w:val="20"/>
                <w:szCs w:val="20"/>
                <w:lang w:eastAsia="en-GB"/>
              </w:rPr>
            </w:pPr>
            <w:r w:rsidRPr="004A3B44">
              <w:rPr>
                <w:rFonts w:ascii="Arial" w:eastAsia="Times New Roman" w:hAnsi="Arial" w:cs="Arial"/>
                <w:color w:val="000000"/>
                <w:sz w:val="20"/>
                <w:szCs w:val="20"/>
                <w:lang w:eastAsia="en-GB"/>
              </w:rPr>
              <w:t>33.73</w:t>
            </w:r>
          </w:p>
        </w:tc>
      </w:tr>
      <w:tr w:rsidR="004A3B44" w:rsidRPr="004A3B44" w:rsidTr="004A3B44">
        <w:trPr>
          <w:trHeight w:val="260"/>
        </w:trPr>
        <w:tc>
          <w:tcPr>
            <w:tcW w:w="1280" w:type="dxa"/>
            <w:tcBorders>
              <w:top w:val="single" w:sz="4" w:space="0" w:color="FFFFFF"/>
              <w:left w:val="nil"/>
              <w:bottom w:val="nil"/>
              <w:right w:val="single" w:sz="4" w:space="0" w:color="FFFFFF"/>
            </w:tcBorders>
            <w:shd w:val="clear" w:color="D8E4BC" w:fill="D8E4BC"/>
            <w:noWrap/>
            <w:vAlign w:val="bottom"/>
            <w:hideMark/>
          </w:tcPr>
          <w:p w:rsidR="004A3B44" w:rsidRPr="004A3B44" w:rsidRDefault="004A3B44" w:rsidP="004A3B44">
            <w:pPr>
              <w:jc w:val="right"/>
              <w:rPr>
                <w:rFonts w:ascii="Arial" w:eastAsia="Times New Roman" w:hAnsi="Arial" w:cs="Arial"/>
                <w:color w:val="000000"/>
                <w:sz w:val="20"/>
                <w:szCs w:val="20"/>
                <w:lang w:eastAsia="en-GB"/>
              </w:rPr>
            </w:pPr>
            <w:r w:rsidRPr="004A3B44">
              <w:rPr>
                <w:rFonts w:ascii="Arial" w:eastAsia="Times New Roman" w:hAnsi="Arial" w:cs="Arial"/>
                <w:color w:val="000000"/>
                <w:sz w:val="20"/>
                <w:szCs w:val="20"/>
                <w:lang w:eastAsia="en-GB"/>
              </w:rPr>
              <w:t>2010</w:t>
            </w:r>
          </w:p>
        </w:tc>
        <w:tc>
          <w:tcPr>
            <w:tcW w:w="1673" w:type="dxa"/>
            <w:tcBorders>
              <w:top w:val="single" w:sz="4" w:space="0" w:color="FFFFFF"/>
              <w:left w:val="single" w:sz="4" w:space="0" w:color="FFFFFF"/>
              <w:bottom w:val="nil"/>
              <w:right w:val="nil"/>
            </w:tcBorders>
            <w:shd w:val="clear" w:color="D8E4BC" w:fill="D8E4BC"/>
            <w:noWrap/>
            <w:vAlign w:val="bottom"/>
            <w:hideMark/>
          </w:tcPr>
          <w:p w:rsidR="004A3B44" w:rsidRPr="004A3B44" w:rsidRDefault="004A3B44" w:rsidP="004A3B44">
            <w:pPr>
              <w:jc w:val="right"/>
              <w:rPr>
                <w:rFonts w:ascii="Arial" w:eastAsia="Times New Roman" w:hAnsi="Arial" w:cs="Arial"/>
                <w:color w:val="000000"/>
                <w:sz w:val="20"/>
                <w:szCs w:val="20"/>
                <w:lang w:eastAsia="en-GB"/>
              </w:rPr>
            </w:pPr>
            <w:r w:rsidRPr="004A3B44">
              <w:rPr>
                <w:rFonts w:ascii="Arial" w:eastAsia="Times New Roman" w:hAnsi="Arial" w:cs="Arial"/>
                <w:color w:val="000000"/>
                <w:sz w:val="20"/>
                <w:szCs w:val="20"/>
                <w:lang w:eastAsia="en-GB"/>
              </w:rPr>
              <w:t>36.54</w:t>
            </w:r>
          </w:p>
        </w:tc>
      </w:tr>
    </w:tbl>
    <w:p w:rsidR="004A3B44" w:rsidRDefault="004A3B44" w:rsidP="00B51C0E">
      <w:pPr>
        <w:spacing w:line="360" w:lineRule="auto"/>
        <w:rPr>
          <w:rFonts w:eastAsiaTheme="minorEastAsia"/>
          <w:lang w:val="da-DK"/>
        </w:rPr>
      </w:pPr>
    </w:p>
    <w:p w:rsidR="00E63B2E" w:rsidRDefault="004A3B44" w:rsidP="00B51C0E">
      <w:pPr>
        <w:spacing w:line="360" w:lineRule="auto"/>
        <w:rPr>
          <w:rFonts w:eastAsiaTheme="minorEastAsia"/>
          <w:lang w:val="da-DK"/>
        </w:rPr>
      </w:pPr>
      <w:r>
        <w:rPr>
          <w:rFonts w:eastAsiaTheme="minorEastAsia"/>
          <w:lang w:val="da-DK"/>
        </w:rPr>
        <w:t>Hermed kan det afsluttes med at opstille en Lorenz-Kurve. Den er opstillet på næste side</w:t>
      </w:r>
    </w:p>
    <w:p w:rsidR="00F53ECA" w:rsidRDefault="00F53ECA" w:rsidP="00B51C0E">
      <w:pPr>
        <w:spacing w:line="360" w:lineRule="auto"/>
        <w:rPr>
          <w:rFonts w:eastAsiaTheme="minorEastAsia"/>
          <w:lang w:val="da-DK"/>
        </w:rPr>
      </w:pPr>
      <w:r>
        <w:rPr>
          <w:noProof/>
        </w:rPr>
        <w:lastRenderedPageBreak/>
        <w:drawing>
          <wp:inline distT="0" distB="0" distL="0" distR="0" wp14:anchorId="0293B0F1" wp14:editId="3157DD6C">
            <wp:extent cx="5499100" cy="3162300"/>
            <wp:effectExtent l="0" t="0" r="12700" b="12700"/>
            <wp:docPr id="3" name="Chart 3">
              <a:extLst xmlns:a="http://schemas.openxmlformats.org/drawingml/2006/main">
                <a:ext uri="{FF2B5EF4-FFF2-40B4-BE49-F238E27FC236}">
                  <a16:creationId xmlns:a16="http://schemas.microsoft.com/office/drawing/2014/main" id="{D958C9CF-A991-3846-89FB-FB7F84C4A3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A3B44" w:rsidRDefault="004A3B44" w:rsidP="00B51C0E">
      <w:pPr>
        <w:spacing w:line="360" w:lineRule="auto"/>
        <w:rPr>
          <w:rFonts w:eastAsiaTheme="minorEastAsia"/>
          <w:lang w:val="da-DK"/>
        </w:rPr>
      </w:pPr>
      <w:r>
        <w:rPr>
          <w:rFonts w:eastAsiaTheme="minorEastAsia"/>
          <w:lang w:val="da-DK"/>
        </w:rPr>
        <w:t xml:space="preserve">Man kan udlede at i begge år udgør de nederste 50% på af køerne kun omkring 20% af den samlede vægt. Man kan yderligere se, at 2010 ligger længere væk fra 45-graders linjen, der beskriver 100 lighed. I de mellemliggende ti år, er uligheden i størrelserne altså blevet større. </w:t>
      </w:r>
      <w:r w:rsidR="00A33E4A">
        <w:rPr>
          <w:rFonts w:eastAsiaTheme="minorEastAsia"/>
          <w:lang w:val="da-DK"/>
        </w:rPr>
        <w:t xml:space="preserve">Man kan altså sige, at i 2000, skal de øverste 50% afgive 33,73%  </w:t>
      </w:r>
      <w:proofErr w:type="spellStart"/>
      <w:r w:rsidR="00A33E4A">
        <w:rPr>
          <w:rFonts w:eastAsiaTheme="minorEastAsia"/>
          <w:lang w:val="da-DK"/>
        </w:rPr>
        <w:t>jf</w:t>
      </w:r>
      <w:proofErr w:type="spellEnd"/>
      <w:r w:rsidR="00A33E4A">
        <w:rPr>
          <w:rFonts w:eastAsiaTheme="minorEastAsia"/>
          <w:lang w:val="da-DK"/>
        </w:rPr>
        <w:t xml:space="preserve"> tabel 2.2 af deres samlede vægt til de mindste 50% for at udjævne uligheden og opnå en fuldstændig lige konkurrence. I 2010 skal de øverste 50% afgive 36,54% jf. tabel 2.2 for at opnå en lige konkurrence  Endnu indikation for en stigning i størrelsesuligheden mellem 2000 og 2010. </w:t>
      </w:r>
    </w:p>
    <w:p w:rsidR="003A765F" w:rsidRDefault="003A765F" w:rsidP="00B51C0E">
      <w:pPr>
        <w:spacing w:line="360" w:lineRule="auto"/>
        <w:rPr>
          <w:rFonts w:eastAsiaTheme="minorEastAsia"/>
          <w:lang w:val="da-DK"/>
        </w:rPr>
      </w:pPr>
    </w:p>
    <w:p w:rsidR="00AF1842" w:rsidRDefault="00AF1842" w:rsidP="00B51C0E">
      <w:pPr>
        <w:spacing w:line="360" w:lineRule="auto"/>
        <w:rPr>
          <w:rFonts w:eastAsiaTheme="minorEastAsia"/>
          <w:lang w:val="da-DK"/>
        </w:rPr>
      </w:pPr>
      <w:r>
        <w:rPr>
          <w:rFonts w:eastAsiaTheme="minorEastAsia"/>
          <w:lang w:val="da-DK"/>
        </w:rPr>
        <w:t>Opgave 3</w:t>
      </w:r>
    </w:p>
    <w:p w:rsidR="00B51C0E" w:rsidRDefault="00B51C0E" w:rsidP="00B51C0E">
      <w:pPr>
        <w:spacing w:line="360" w:lineRule="auto"/>
        <w:rPr>
          <w:rFonts w:eastAsiaTheme="minorEastAsia"/>
          <w:lang w:val="da-DK"/>
        </w:rPr>
      </w:pPr>
      <w:r>
        <w:rPr>
          <w:rFonts w:eastAsiaTheme="minorEastAsia"/>
          <w:lang w:val="da-DK"/>
        </w:rPr>
        <w:t xml:space="preserve">I denne del tages der et kig på husholdningernes forbrug, og udviklingen i denne over de seneste ti år. Husholdningernes forbrug er en del af forsyningsbalancen, som opstilles </w:t>
      </w:r>
    </w:p>
    <w:p w:rsidR="0031541E" w:rsidRPr="00B51C0E" w:rsidRDefault="00B51C0E" w:rsidP="00B51C0E">
      <w:pPr>
        <w:spacing w:line="360" w:lineRule="auto"/>
        <w:rPr>
          <w:rFonts w:eastAsiaTheme="minorEastAsia"/>
          <w:lang w:val="da-DK"/>
        </w:rPr>
      </w:pPr>
      <m:oMathPara>
        <m:oMath>
          <m:r>
            <w:rPr>
              <w:rFonts w:ascii="Cambria Math" w:eastAsiaTheme="minorEastAsia" w:hAnsi="Cambria Math"/>
              <w:lang w:val="da-DK"/>
            </w:rPr>
            <m:t>M+Y=C+G+I+X</m:t>
          </m:r>
        </m:oMath>
      </m:oMathPara>
    </w:p>
    <w:p w:rsidR="00FD4648" w:rsidRDefault="00B51C0E" w:rsidP="00B51C0E">
      <w:pPr>
        <w:spacing w:line="360" w:lineRule="auto"/>
        <w:rPr>
          <w:rFonts w:eastAsiaTheme="minorEastAsia"/>
          <w:lang w:val="da-DK"/>
        </w:rPr>
      </w:pPr>
      <w:r>
        <w:rPr>
          <w:rFonts w:eastAsiaTheme="minorEastAsia"/>
          <w:lang w:val="da-DK"/>
        </w:rPr>
        <w:t>Husholdningernes forbrug, forkortes C, udgør en stor andel af BNP. En andel på ca. 50% jf. tabel 3.1.</w:t>
      </w:r>
      <w:r w:rsidR="00FD4648">
        <w:rPr>
          <w:rFonts w:eastAsiaTheme="minorEastAsia"/>
          <w:lang w:val="da-DK"/>
        </w:rPr>
        <w:t xml:space="preserve"> Derfor er det et vigtigt delkomponent i forsyningsbalancen, og kan give et pejlemærke af, hvilken vej den danske økonomi har. </w:t>
      </w:r>
      <w:r w:rsidR="00917A6A">
        <w:rPr>
          <w:rFonts w:eastAsiaTheme="minorEastAsia"/>
          <w:lang w:val="da-DK"/>
        </w:rPr>
        <w:t>Yderligere har jeg vagt at tilføje NPISH til beregningen, da jeg mener, dette er en del af husholdningernes forbrug, selvom den udgør en ubetydelig størrelse i det samlede.</w:t>
      </w:r>
    </w:p>
    <w:p w:rsidR="00FD4648" w:rsidRDefault="00FD4648" w:rsidP="00B51C0E">
      <w:pPr>
        <w:spacing w:line="360" w:lineRule="auto"/>
        <w:rPr>
          <w:rFonts w:eastAsiaTheme="minorEastAsia"/>
          <w:lang w:val="da-DK"/>
        </w:rPr>
      </w:pPr>
      <w:r>
        <w:rPr>
          <w:rFonts w:eastAsiaTheme="minorEastAsia"/>
          <w:lang w:val="da-DK"/>
        </w:rPr>
        <w:t xml:space="preserve">     For at kunne beskrive udviklingen er en årlig realvækstberegning foretaget. Formlen er følgende: </w:t>
      </w:r>
    </w:p>
    <w:p w:rsidR="00FD4648" w:rsidRPr="00FD4648" w:rsidRDefault="0053119C" w:rsidP="00FD4648">
      <w:pPr>
        <w:spacing w:line="360" w:lineRule="auto"/>
        <w:jc w:val="center"/>
        <w:rPr>
          <w:rFonts w:eastAsiaTheme="minorEastAsia"/>
          <w:lang w:val="da-DK"/>
        </w:rPr>
      </w:pPr>
      <m:oMathPara>
        <m:oMath>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å</m:t>
                  </m:r>
                  <m:sSub>
                    <m:sSubPr>
                      <m:ctrlPr>
                        <w:rPr>
                          <w:rFonts w:ascii="Cambria Math" w:eastAsiaTheme="minorEastAsia" w:hAnsi="Cambria Math"/>
                          <w:i/>
                          <w:lang w:val="da-DK"/>
                        </w:rPr>
                      </m:ctrlPr>
                    </m:sSubPr>
                    <m:e>
                      <m:r>
                        <w:rPr>
                          <w:rFonts w:ascii="Cambria Math" w:eastAsiaTheme="minorEastAsia" w:hAnsi="Cambria Math"/>
                          <w:lang w:val="da-DK"/>
                        </w:rPr>
                        <m:t>r</m:t>
                      </m:r>
                    </m:e>
                    <m:sub>
                      <m:r>
                        <w:rPr>
                          <w:rFonts w:ascii="Cambria Math" w:eastAsiaTheme="minorEastAsia" w:hAnsi="Cambria Math"/>
                          <w:lang w:val="da-DK"/>
                        </w:rPr>
                        <m:t>n</m:t>
                      </m:r>
                    </m:sub>
                  </m:sSub>
                </m:num>
                <m:den>
                  <m:r>
                    <w:rPr>
                      <w:rFonts w:ascii="Cambria Math" w:eastAsiaTheme="minorEastAsia" w:hAnsi="Cambria Math"/>
                      <w:lang w:val="da-DK"/>
                    </w:rPr>
                    <m:t>å</m:t>
                  </m:r>
                  <m:sSub>
                    <m:sSubPr>
                      <m:ctrlPr>
                        <w:rPr>
                          <w:rFonts w:ascii="Cambria Math" w:eastAsiaTheme="minorEastAsia" w:hAnsi="Cambria Math"/>
                          <w:i/>
                          <w:lang w:val="da-DK"/>
                        </w:rPr>
                      </m:ctrlPr>
                    </m:sSubPr>
                    <m:e>
                      <m:r>
                        <w:rPr>
                          <w:rFonts w:ascii="Cambria Math" w:eastAsiaTheme="minorEastAsia" w:hAnsi="Cambria Math"/>
                          <w:lang w:val="da-DK"/>
                        </w:rPr>
                        <m:t>r</m:t>
                      </m:r>
                    </m:e>
                    <m:sub>
                      <m:r>
                        <w:rPr>
                          <w:rFonts w:ascii="Cambria Math" w:eastAsiaTheme="minorEastAsia" w:hAnsi="Cambria Math"/>
                          <w:lang w:val="da-DK"/>
                        </w:rPr>
                        <m:t>0</m:t>
                      </m:r>
                    </m:sub>
                  </m:sSub>
                </m:den>
              </m:f>
              <m:r>
                <w:rPr>
                  <w:rFonts w:ascii="Cambria Math" w:eastAsiaTheme="minorEastAsia" w:hAnsi="Cambria Math"/>
                  <w:lang w:val="da-DK"/>
                </w:rPr>
                <m:t>-1</m:t>
              </m:r>
            </m:e>
          </m:d>
          <m:r>
            <w:rPr>
              <w:rFonts w:ascii="Cambria Math" w:eastAsiaTheme="minorEastAsia" w:hAnsi="Cambria Math"/>
              <w:lang w:val="da-DK"/>
            </w:rPr>
            <m:t>·100</m:t>
          </m:r>
        </m:oMath>
      </m:oMathPara>
    </w:p>
    <w:p w:rsidR="00FD4648" w:rsidRDefault="00917A6A" w:rsidP="00FD4648">
      <w:pPr>
        <w:spacing w:line="360" w:lineRule="auto"/>
        <w:rPr>
          <w:rFonts w:eastAsiaTheme="minorEastAsia"/>
          <w:lang w:val="da-DK"/>
        </w:rPr>
      </w:pPr>
      <w:r>
        <w:rPr>
          <w:rFonts w:eastAsiaTheme="minorEastAsia"/>
          <w:lang w:val="da-DK"/>
        </w:rPr>
        <w:t>Her er et eksempel fra år 2011</w:t>
      </w:r>
    </w:p>
    <w:p w:rsidR="00917A6A" w:rsidRPr="00DA230F" w:rsidRDefault="0053119C" w:rsidP="00FD4648">
      <w:pPr>
        <w:spacing w:line="360" w:lineRule="auto"/>
        <w:rPr>
          <w:rFonts w:eastAsiaTheme="minorEastAsia"/>
          <w:lang w:val="da-DK"/>
        </w:rPr>
      </w:pPr>
      <m:oMathPara>
        <m:oMath>
          <m:d>
            <m:dPr>
              <m:ctrlPr>
                <w:rPr>
                  <w:rFonts w:ascii="Cambria Math" w:eastAsiaTheme="minorEastAsia" w:hAnsi="Cambria Math"/>
                  <w:i/>
                  <w:lang w:val="da-DK"/>
                </w:rPr>
              </m:ctrlPr>
            </m:dPr>
            <m:e>
              <m:f>
                <m:fPr>
                  <m:ctrlPr>
                    <w:rPr>
                      <w:rFonts w:ascii="Cambria Math" w:eastAsiaTheme="minorEastAsia" w:hAnsi="Cambria Math"/>
                      <w:i/>
                      <w:lang w:val="da-DK"/>
                    </w:rPr>
                  </m:ctrlPr>
                </m:fPr>
                <m:num>
                  <m:r>
                    <w:rPr>
                      <w:rFonts w:ascii="Cambria Math" w:eastAsiaTheme="minorEastAsia" w:hAnsi="Cambria Math"/>
                      <w:lang w:val="da-DK"/>
                    </w:rPr>
                    <m:t>864,6</m:t>
                  </m:r>
                </m:num>
                <m:den>
                  <m:r>
                    <w:rPr>
                      <w:rFonts w:ascii="Cambria Math" w:eastAsiaTheme="minorEastAsia" w:hAnsi="Cambria Math"/>
                      <w:lang w:val="da-DK"/>
                    </w:rPr>
                    <m:t>862,2</m:t>
                  </m:r>
                </m:den>
              </m:f>
              <m:r>
                <w:rPr>
                  <w:rFonts w:ascii="Cambria Math" w:eastAsiaTheme="minorEastAsia" w:hAnsi="Cambria Math"/>
                  <w:lang w:val="da-DK"/>
                </w:rPr>
                <m:t>-1</m:t>
              </m:r>
            </m:e>
          </m:d>
          <m:r>
            <w:rPr>
              <w:rFonts w:ascii="Cambria Math" w:eastAsiaTheme="minorEastAsia" w:hAnsi="Cambria Math"/>
              <w:lang w:val="da-DK"/>
            </w:rPr>
            <m:t>·100=0,3 pct</m:t>
          </m:r>
        </m:oMath>
      </m:oMathPara>
    </w:p>
    <w:p w:rsidR="0006460C" w:rsidRDefault="00DA230F" w:rsidP="00FD4648">
      <w:pPr>
        <w:spacing w:line="360" w:lineRule="auto"/>
        <w:rPr>
          <w:rFonts w:eastAsiaTheme="minorEastAsia"/>
          <w:lang w:val="da-DK"/>
        </w:rPr>
      </w:pPr>
      <w:r>
        <w:rPr>
          <w:rFonts w:eastAsiaTheme="minorEastAsia"/>
          <w:lang w:val="da-DK"/>
        </w:rPr>
        <w:t xml:space="preserve">Denne beregning er god, da man sammenligner strømstørrelsen med dens egen værdi året forinden. Derfor simplificerer denne beregning udviklingen til tal, der er lettere at beskrive og forstå. Ved at omdanne relativt store tal til procentandele, mister man dog meget niveau, og alene ud fra procenter, kan man ikke sige hvor stor den reale stigning egentlig er. Af denne grund har jeg indlagt det reelle niveau som en kurve, mens søjlerne beskriver den procentvise udvikling. </w:t>
      </w:r>
    </w:p>
    <w:p w:rsidR="0006460C" w:rsidRDefault="0006460C" w:rsidP="00FD4648">
      <w:pPr>
        <w:spacing w:line="360" w:lineRule="auto"/>
        <w:rPr>
          <w:rFonts w:eastAsiaTheme="minorEastAsia"/>
          <w:lang w:val="da-DK"/>
        </w:rPr>
      </w:pPr>
      <w:r>
        <w:rPr>
          <w:rFonts w:eastAsiaTheme="minorEastAsia"/>
          <w:lang w:val="da-DK"/>
        </w:rPr>
        <w:t xml:space="preserve">     Ydermere er den gennemsnitlige årlige vækst fundet. Dette er godt fordi det giver et referencepunkt for de enkelte år. Formlen lyder: </w:t>
      </w:r>
    </w:p>
    <w:p w:rsidR="0006460C" w:rsidRPr="0006460C" w:rsidRDefault="0053119C" w:rsidP="00FD4648">
      <w:pPr>
        <w:spacing w:line="360" w:lineRule="auto"/>
        <w:rPr>
          <w:rFonts w:eastAsiaTheme="minorEastAsia"/>
          <w:lang w:val="da-DK"/>
        </w:rPr>
      </w:pPr>
      <m:oMathPara>
        <m:oMath>
          <m:sSup>
            <m:sSupPr>
              <m:ctrlPr>
                <w:rPr>
                  <w:rFonts w:ascii="Cambria Math" w:eastAsiaTheme="minorEastAsia" w:hAnsi="Cambria Math"/>
                  <w:i/>
                  <w:lang w:val="da-DK"/>
                </w:rPr>
              </m:ctrlPr>
            </m:sSupPr>
            <m:e>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å</m:t>
                  </m:r>
                  <m:sSub>
                    <m:sSubPr>
                      <m:ctrlPr>
                        <w:rPr>
                          <w:rFonts w:ascii="Cambria Math" w:eastAsiaTheme="minorEastAsia" w:hAnsi="Cambria Math"/>
                          <w:i/>
                          <w:lang w:val="da-DK"/>
                        </w:rPr>
                      </m:ctrlPr>
                    </m:sSubPr>
                    <m:e>
                      <m:r>
                        <w:rPr>
                          <w:rFonts w:ascii="Cambria Math" w:eastAsiaTheme="minorEastAsia" w:hAnsi="Cambria Math"/>
                          <w:lang w:val="da-DK"/>
                        </w:rPr>
                        <m:t>r</m:t>
                      </m:r>
                    </m:e>
                    <m:sub>
                      <m:r>
                        <w:rPr>
                          <w:rFonts w:ascii="Cambria Math" w:eastAsiaTheme="minorEastAsia" w:hAnsi="Cambria Math"/>
                          <w:lang w:val="da-DK"/>
                        </w:rPr>
                        <m:t>n</m:t>
                      </m:r>
                    </m:sub>
                  </m:sSub>
                </m:num>
                <m:den>
                  <m:r>
                    <w:rPr>
                      <w:rFonts w:ascii="Cambria Math" w:eastAsiaTheme="minorEastAsia" w:hAnsi="Cambria Math"/>
                      <w:lang w:val="da-DK"/>
                    </w:rPr>
                    <m:t>å</m:t>
                  </m:r>
                  <m:sSub>
                    <m:sSubPr>
                      <m:ctrlPr>
                        <w:rPr>
                          <w:rFonts w:ascii="Cambria Math" w:eastAsiaTheme="minorEastAsia" w:hAnsi="Cambria Math"/>
                          <w:i/>
                          <w:lang w:val="da-DK"/>
                        </w:rPr>
                      </m:ctrlPr>
                    </m:sSubPr>
                    <m:e>
                      <m:r>
                        <w:rPr>
                          <w:rFonts w:ascii="Cambria Math" w:eastAsiaTheme="minorEastAsia" w:hAnsi="Cambria Math"/>
                          <w:lang w:val="da-DK"/>
                        </w:rPr>
                        <m:t>r</m:t>
                      </m:r>
                    </m:e>
                    <m:sub>
                      <m:r>
                        <w:rPr>
                          <w:rFonts w:ascii="Cambria Math" w:eastAsiaTheme="minorEastAsia" w:hAnsi="Cambria Math"/>
                          <w:lang w:val="da-DK"/>
                        </w:rPr>
                        <m:t>0</m:t>
                      </m:r>
                    </m:sub>
                  </m:sSub>
                </m:den>
              </m:f>
              <m:r>
                <w:rPr>
                  <w:rFonts w:ascii="Cambria Math" w:eastAsiaTheme="minorEastAsia" w:hAnsi="Cambria Math"/>
                  <w:lang w:val="da-DK"/>
                </w:rPr>
                <m:t>)</m:t>
              </m:r>
            </m:e>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n</m:t>
                  </m:r>
                </m:den>
              </m:f>
            </m:sup>
          </m:sSup>
          <m:r>
            <w:rPr>
              <w:rFonts w:ascii="Cambria Math" w:eastAsiaTheme="minorEastAsia" w:hAnsi="Cambria Math"/>
              <w:lang w:val="da-DK"/>
            </w:rPr>
            <m:t>-1)·100</m:t>
          </m:r>
        </m:oMath>
      </m:oMathPara>
    </w:p>
    <w:p w:rsidR="0006460C" w:rsidRDefault="0006460C" w:rsidP="00FD4648">
      <w:pPr>
        <w:spacing w:line="360" w:lineRule="auto"/>
        <w:rPr>
          <w:rFonts w:eastAsiaTheme="minorEastAsia"/>
          <w:lang w:val="da-DK"/>
        </w:rPr>
      </w:pPr>
      <w:r>
        <w:rPr>
          <w:rFonts w:eastAsiaTheme="minorEastAsia"/>
          <w:lang w:val="da-DK"/>
        </w:rPr>
        <w:t xml:space="preserve">Og i dette tilfælde er den gennemsnitlige årlige procentvise vækst beregnet </w:t>
      </w:r>
      <w:proofErr w:type="spellStart"/>
      <w:r>
        <w:rPr>
          <w:rFonts w:eastAsiaTheme="minorEastAsia"/>
          <w:lang w:val="da-DK"/>
        </w:rPr>
        <w:t>vha</w:t>
      </w:r>
      <w:proofErr w:type="spellEnd"/>
      <w:r>
        <w:rPr>
          <w:rFonts w:eastAsiaTheme="minorEastAsia"/>
          <w:lang w:val="da-DK"/>
        </w:rPr>
        <w:t xml:space="preserve">: </w:t>
      </w:r>
    </w:p>
    <w:p w:rsidR="0006460C" w:rsidRPr="0006460C" w:rsidRDefault="0053119C" w:rsidP="00FD4648">
      <w:pPr>
        <w:spacing w:line="360" w:lineRule="auto"/>
        <w:rPr>
          <w:rFonts w:eastAsiaTheme="minorEastAsia"/>
          <w:lang w:val="da-DK"/>
        </w:rPr>
      </w:pPr>
      <m:oMathPara>
        <m:oMath>
          <m:sSup>
            <m:sSupPr>
              <m:ctrlPr>
                <w:rPr>
                  <w:rFonts w:ascii="Cambria Math" w:eastAsiaTheme="minorEastAsia" w:hAnsi="Cambria Math"/>
                  <w:i/>
                  <w:lang w:val="da-DK"/>
                </w:rPr>
              </m:ctrlPr>
            </m:sSupPr>
            <m:e>
              <m:r>
                <w:rPr>
                  <w:rFonts w:ascii="Cambria Math" w:eastAsiaTheme="minorEastAsia" w:hAnsi="Cambria Math"/>
                  <w:lang w:val="da-DK"/>
                </w:rPr>
                <m:t>((</m:t>
              </m:r>
              <m:f>
                <m:fPr>
                  <m:ctrlPr>
                    <w:rPr>
                      <w:rFonts w:ascii="Cambria Math" w:eastAsiaTheme="minorEastAsia" w:hAnsi="Cambria Math"/>
                      <w:i/>
                      <w:lang w:val="da-DK"/>
                    </w:rPr>
                  </m:ctrlPr>
                </m:fPr>
                <m:num>
                  <m:r>
                    <w:rPr>
                      <w:rFonts w:ascii="Cambria Math" w:eastAsiaTheme="minorEastAsia" w:hAnsi="Cambria Math"/>
                      <w:lang w:val="da-DK"/>
                    </w:rPr>
                    <m:t>982</m:t>
                  </m:r>
                </m:num>
                <m:den>
                  <m:r>
                    <w:rPr>
                      <w:rFonts w:ascii="Cambria Math" w:eastAsiaTheme="minorEastAsia" w:hAnsi="Cambria Math"/>
                      <w:lang w:val="da-DK"/>
                    </w:rPr>
                    <m:t>855,5</m:t>
                  </m:r>
                </m:den>
              </m:f>
              <m:r>
                <w:rPr>
                  <w:rFonts w:ascii="Cambria Math" w:eastAsiaTheme="minorEastAsia" w:hAnsi="Cambria Math"/>
                  <w:lang w:val="da-DK"/>
                </w:rPr>
                <m:t>)</m:t>
              </m:r>
            </m:e>
            <m:sup>
              <m:f>
                <m:fPr>
                  <m:ctrlPr>
                    <w:rPr>
                      <w:rFonts w:ascii="Cambria Math" w:eastAsiaTheme="minorEastAsia" w:hAnsi="Cambria Math"/>
                      <w:i/>
                      <w:lang w:val="da-DK"/>
                    </w:rPr>
                  </m:ctrlPr>
                </m:fPr>
                <m:num>
                  <m:r>
                    <w:rPr>
                      <w:rFonts w:ascii="Cambria Math" w:eastAsiaTheme="minorEastAsia" w:hAnsi="Cambria Math"/>
                      <w:lang w:val="da-DK"/>
                    </w:rPr>
                    <m:t>1</m:t>
                  </m:r>
                </m:num>
                <m:den>
                  <m:r>
                    <w:rPr>
                      <w:rFonts w:ascii="Cambria Math" w:eastAsiaTheme="minorEastAsia" w:hAnsi="Cambria Math"/>
                      <w:lang w:val="da-DK"/>
                    </w:rPr>
                    <m:t>10</m:t>
                  </m:r>
                </m:den>
              </m:f>
            </m:sup>
          </m:sSup>
          <m:r>
            <w:rPr>
              <w:rFonts w:ascii="Cambria Math" w:eastAsiaTheme="minorEastAsia" w:hAnsi="Cambria Math"/>
              <w:lang w:val="da-DK"/>
            </w:rPr>
            <m:t>-1)·100=1,4 pct pro anno</m:t>
          </m:r>
        </m:oMath>
      </m:oMathPara>
    </w:p>
    <w:p w:rsidR="0006460C" w:rsidRPr="0006460C" w:rsidRDefault="0006460C" w:rsidP="00FD4648">
      <w:pPr>
        <w:spacing w:line="360" w:lineRule="auto"/>
        <w:rPr>
          <w:rFonts w:eastAsiaTheme="minorEastAsia"/>
          <w:lang w:val="da-DK"/>
        </w:rPr>
      </w:pPr>
      <w:r>
        <w:rPr>
          <w:rFonts w:eastAsiaTheme="minorEastAsia"/>
          <w:lang w:val="da-DK"/>
        </w:rPr>
        <w:t xml:space="preserve">Derudover skal det også nævnes, at de sidste tre år er under revision, og kan ændres inden for den nærmeste fremtid. Derfor skal de sidste tre år tages med et vist forbehold. </w:t>
      </w:r>
    </w:p>
    <w:p w:rsidR="004630E4" w:rsidRDefault="0006460C" w:rsidP="00FD4648">
      <w:pPr>
        <w:spacing w:line="360" w:lineRule="auto"/>
        <w:rPr>
          <w:rFonts w:eastAsiaTheme="minorEastAsia"/>
          <w:lang w:val="da-DK"/>
        </w:rPr>
      </w:pPr>
      <w:r>
        <w:rPr>
          <w:rFonts w:eastAsiaTheme="minorEastAsia"/>
          <w:lang w:val="da-DK"/>
        </w:rPr>
        <w:t xml:space="preserve">Figur 3.1 ser derfor således ud: </w:t>
      </w:r>
    </w:p>
    <w:p w:rsidR="004630E4" w:rsidRDefault="004630E4" w:rsidP="00FD4648">
      <w:pPr>
        <w:spacing w:line="360" w:lineRule="auto"/>
        <w:rPr>
          <w:rFonts w:eastAsiaTheme="minorEastAsia"/>
          <w:lang w:val="da-DK"/>
        </w:rPr>
      </w:pPr>
    </w:p>
    <w:p w:rsidR="00917A6A" w:rsidRDefault="004630E4" w:rsidP="00FD4648">
      <w:pPr>
        <w:spacing w:line="360" w:lineRule="auto"/>
        <w:rPr>
          <w:rFonts w:eastAsiaTheme="minorEastAsia"/>
          <w:lang w:val="da-DK"/>
        </w:rPr>
      </w:pPr>
      <w:r>
        <w:rPr>
          <w:noProof/>
        </w:rPr>
        <w:drawing>
          <wp:inline distT="0" distB="0" distL="0" distR="0" wp14:anchorId="62BE643F" wp14:editId="58BF84B6">
            <wp:extent cx="5731510" cy="2877185"/>
            <wp:effectExtent l="0" t="0" r="8890" b="18415"/>
            <wp:docPr id="2" name="Chart 2">
              <a:extLst xmlns:a="http://schemas.openxmlformats.org/drawingml/2006/main">
                <a:ext uri="{FF2B5EF4-FFF2-40B4-BE49-F238E27FC236}">
                  <a16:creationId xmlns:a16="http://schemas.microsoft.com/office/drawing/2014/main" id="{F747440D-1418-FC4B-A803-81A8E459E3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D4648" w:rsidRDefault="00FD4648" w:rsidP="00B51C0E">
      <w:pPr>
        <w:spacing w:line="360" w:lineRule="auto"/>
        <w:rPr>
          <w:rFonts w:eastAsiaTheme="minorEastAsia"/>
          <w:lang w:val="da-DK"/>
        </w:rPr>
      </w:pPr>
    </w:p>
    <w:p w:rsidR="00FD4648" w:rsidRDefault="0006460C" w:rsidP="00B51C0E">
      <w:pPr>
        <w:spacing w:line="360" w:lineRule="auto"/>
        <w:rPr>
          <w:rFonts w:eastAsiaTheme="minorEastAsia"/>
          <w:lang w:val="da-DK"/>
        </w:rPr>
      </w:pPr>
      <w:r>
        <w:rPr>
          <w:rFonts w:eastAsiaTheme="minorEastAsia"/>
          <w:lang w:val="da-DK"/>
        </w:rPr>
        <w:t xml:space="preserve">Der kan udledes en stigende tendens gennem hele perioden jf. figur 3.1. Fra 2010-2014 er stigningen under hele periodens gennemsnit, hvor vækstrater rammer sit laveste i 2011 og 2013 med vækstrater på ca. 0,3%. Fra 2015-2019 er der vækstrater over hele periodens gennemsnit. Den højeste vækstrate er i 2018, med en tilvækst på ca. 2,6%. En enkel </w:t>
      </w:r>
      <w:proofErr w:type="spellStart"/>
      <w:r>
        <w:rPr>
          <w:rFonts w:eastAsiaTheme="minorEastAsia"/>
          <w:lang w:val="da-DK"/>
        </w:rPr>
        <w:t>outlier</w:t>
      </w:r>
      <w:proofErr w:type="spellEnd"/>
      <w:r>
        <w:rPr>
          <w:rFonts w:eastAsiaTheme="minorEastAsia"/>
          <w:lang w:val="da-DK"/>
        </w:rPr>
        <w:t xml:space="preserve"> kan findes i år 2017, da de forhenværende og efterfølgende år har vækstrater på over 2%, mens 2017 kun lige når over hele periodens gennemsnitlige årlige vækst. I 2017 vokser husholdningernes forbrug inklusiv NPISH med ca. 1,6%. Kun 0,2 procent point over den gennemsnitlige vækst. </w:t>
      </w:r>
    </w:p>
    <w:p w:rsidR="0006460C" w:rsidRDefault="0006460C" w:rsidP="00B51C0E">
      <w:pPr>
        <w:spacing w:line="360" w:lineRule="auto"/>
        <w:rPr>
          <w:rFonts w:eastAsiaTheme="minorEastAsia"/>
          <w:lang w:val="da-DK"/>
        </w:rPr>
      </w:pPr>
    </w:p>
    <w:p w:rsidR="0006460C" w:rsidRDefault="007B7F04" w:rsidP="00B51C0E">
      <w:pPr>
        <w:spacing w:line="360" w:lineRule="auto"/>
        <w:rPr>
          <w:rFonts w:eastAsiaTheme="minorEastAsia"/>
          <w:lang w:val="da-DK"/>
        </w:rPr>
      </w:pPr>
      <w:r>
        <w:rPr>
          <w:rFonts w:eastAsiaTheme="minorEastAsia"/>
          <w:lang w:val="da-DK"/>
        </w:rPr>
        <w:t>Skal den lave tilvækst i figurens første år forklares, kan det blandt andet skyldes finanskrisen i 2008-09. Den globale krise sendte de finansielle markeder ud i usikre tider, hvilket endte med at ramme forbrugeren, i det bankerne ikke kunne låne penge internationalt, og derfor ikke udlåne penge til de danske forbruger. Nogle danske bankers egenkapital var også belånt, hvilket var en af grundende til, bankede drejede nøglen om. Denne finansielle usikkerhed resulterede i, at det var sværere at optage lån til store forbrugskøb såsom bolig. Adfærdsmæssigt blev danskerne mere nervøse og forbrugte mindre. Dette ses blandt andet i faldet af forbrugskvoten og stigningen i opsparingskvoten</w:t>
      </w:r>
      <w:r>
        <w:rPr>
          <w:rFonts w:eastAsiaTheme="minorEastAsia"/>
          <w:b/>
          <w:bCs/>
          <w:lang w:val="da-DK"/>
        </w:rPr>
        <w:t xml:space="preserve"> jf</w:t>
      </w:r>
      <w:r w:rsidR="004630E4">
        <w:rPr>
          <w:rFonts w:eastAsiaTheme="minorEastAsia"/>
          <w:b/>
          <w:bCs/>
          <w:lang w:val="da-DK"/>
        </w:rPr>
        <w:t>.</w:t>
      </w:r>
      <w:r>
        <w:rPr>
          <w:rFonts w:eastAsiaTheme="minorEastAsia"/>
          <w:b/>
          <w:bCs/>
          <w:lang w:val="da-DK"/>
        </w:rPr>
        <w:t xml:space="preserve"> Danmarks økonomi siden 1980, side 106, figur 6.2)</w:t>
      </w:r>
      <w:r>
        <w:rPr>
          <w:rFonts w:eastAsiaTheme="minorEastAsia"/>
          <w:lang w:val="da-DK"/>
        </w:rPr>
        <w:t xml:space="preserve"> Her ses det blandt andet, at forbrugskvoten faldt, alt i mens opsparingskvoten steg. Dette understøtter usikkerheden blandt den danske forbruger. Den lavere efterspørgsel førte til fyringer, hvilket kun bidrog til usikkerheden. </w:t>
      </w:r>
    </w:p>
    <w:p w:rsidR="00393C64" w:rsidRDefault="00393C64" w:rsidP="00B51C0E">
      <w:pPr>
        <w:spacing w:line="360" w:lineRule="auto"/>
        <w:rPr>
          <w:rFonts w:eastAsiaTheme="minorEastAsia"/>
          <w:lang w:val="da-DK"/>
        </w:rPr>
      </w:pPr>
    </w:p>
    <w:p w:rsidR="00393C64" w:rsidRDefault="00393C64" w:rsidP="00B51C0E">
      <w:pPr>
        <w:spacing w:line="360" w:lineRule="auto"/>
        <w:rPr>
          <w:rFonts w:eastAsiaTheme="minorEastAsia"/>
          <w:lang w:val="da-DK"/>
        </w:rPr>
      </w:pPr>
      <w:r>
        <w:rPr>
          <w:rFonts w:eastAsiaTheme="minorEastAsia"/>
          <w:lang w:val="da-DK"/>
        </w:rPr>
        <w:t xml:space="preserve">I denne periode bliver der gennemført nogle skattereformer, der skal hjælpe forbruget tilbage på fode. Her kan skattereformen i 2011 fremhæves. Denne skattereform indfasede stille og roligt skattelettelser. Ydermere hævede den også topskatte grænsen. Dette gav altså forbrugeren flere penge mellem hænderne, og man kan se at efter 2014 stiger væksten over periodens gennemsnitlige vækst, hvilket kan forklares ved, at forbrugeren begynder at kunne mærke skattelettelserne lavet tre år tidligere. Højere disponibel indkomst giver højere forbrug, hvilket kan forklare de højere vækstrater fra 2014 og frem. Den eneste grund gennem STO, jeg kunne finde til </w:t>
      </w:r>
      <w:proofErr w:type="spellStart"/>
      <w:r>
        <w:rPr>
          <w:rFonts w:eastAsiaTheme="minorEastAsia"/>
          <w:lang w:val="da-DK"/>
        </w:rPr>
        <w:t>outlieren</w:t>
      </w:r>
      <w:proofErr w:type="spellEnd"/>
      <w:r>
        <w:rPr>
          <w:rFonts w:eastAsiaTheme="minorEastAsia"/>
          <w:lang w:val="da-DK"/>
        </w:rPr>
        <w:t xml:space="preserve"> i 2017 var Donald Trumps valgsejr samt </w:t>
      </w:r>
      <w:proofErr w:type="spellStart"/>
      <w:r>
        <w:rPr>
          <w:rFonts w:eastAsiaTheme="minorEastAsia"/>
          <w:lang w:val="da-DK"/>
        </w:rPr>
        <w:t>Brexit</w:t>
      </w:r>
      <w:proofErr w:type="spellEnd"/>
      <w:r>
        <w:rPr>
          <w:rFonts w:eastAsiaTheme="minorEastAsia"/>
          <w:lang w:val="da-DK"/>
        </w:rPr>
        <w:t xml:space="preserve"> året før.  </w:t>
      </w:r>
    </w:p>
    <w:p w:rsidR="00A33E4A" w:rsidRDefault="00A33E4A" w:rsidP="00B51C0E">
      <w:pPr>
        <w:spacing w:line="360" w:lineRule="auto"/>
        <w:rPr>
          <w:rFonts w:eastAsiaTheme="minorEastAsia"/>
          <w:lang w:val="da-DK"/>
        </w:rPr>
      </w:pPr>
    </w:p>
    <w:p w:rsidR="00A33E4A" w:rsidRDefault="00A33E4A" w:rsidP="00B51C0E">
      <w:pPr>
        <w:spacing w:line="360" w:lineRule="auto"/>
        <w:rPr>
          <w:rFonts w:eastAsiaTheme="minorEastAsia"/>
          <w:lang w:val="da-DK"/>
        </w:rPr>
      </w:pPr>
      <w:r>
        <w:rPr>
          <w:rFonts w:eastAsiaTheme="minorEastAsia"/>
          <w:lang w:val="da-DK"/>
        </w:rPr>
        <w:lastRenderedPageBreak/>
        <w:t xml:space="preserve">Bilag </w:t>
      </w:r>
    </w:p>
    <w:p w:rsidR="00A33E4A" w:rsidRDefault="00A33E4A" w:rsidP="00B51C0E">
      <w:pPr>
        <w:spacing w:line="360" w:lineRule="auto"/>
        <w:rPr>
          <w:rFonts w:eastAsiaTheme="minorEastAsia"/>
          <w:lang w:val="da-DK"/>
        </w:rPr>
      </w:pPr>
      <w:r>
        <w:rPr>
          <w:rFonts w:eastAsiaTheme="minorEastAsia"/>
          <w:lang w:val="da-DK"/>
        </w:rPr>
        <w:t xml:space="preserve">Opgave 2 </w:t>
      </w:r>
    </w:p>
    <w:p w:rsidR="00A33E4A" w:rsidRDefault="00A33E4A" w:rsidP="00B51C0E">
      <w:pPr>
        <w:spacing w:line="360" w:lineRule="auto"/>
        <w:rPr>
          <w:rFonts w:eastAsiaTheme="minorEastAsia"/>
          <w:lang w:val="da-DK"/>
        </w:rPr>
      </w:pPr>
      <w:r>
        <w:rPr>
          <w:rFonts w:eastAsiaTheme="minorEastAsia"/>
          <w:noProof/>
          <w:lang w:val="da-DK"/>
        </w:rPr>
        <w:drawing>
          <wp:inline distT="0" distB="0" distL="0" distR="0" wp14:anchorId="77BCF535" wp14:editId="2717FC46">
            <wp:extent cx="5731510" cy="30607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060700"/>
                    </a:xfrm>
                    <a:prstGeom prst="rect">
                      <a:avLst/>
                    </a:prstGeom>
                  </pic:spPr>
                </pic:pic>
              </a:graphicData>
            </a:graphic>
          </wp:inline>
        </w:drawing>
      </w:r>
    </w:p>
    <w:p w:rsidR="00A33E4A" w:rsidRDefault="00A33E4A" w:rsidP="00B51C0E">
      <w:pPr>
        <w:spacing w:line="360" w:lineRule="auto"/>
        <w:rPr>
          <w:rFonts w:eastAsiaTheme="minorEastAsia"/>
          <w:lang w:val="da-DK"/>
        </w:rPr>
      </w:pPr>
    </w:p>
    <w:p w:rsidR="00A33E4A" w:rsidRDefault="00A33E4A" w:rsidP="00B51C0E">
      <w:pPr>
        <w:spacing w:line="360" w:lineRule="auto"/>
        <w:rPr>
          <w:rFonts w:eastAsiaTheme="minorEastAsia"/>
          <w:lang w:val="da-DK"/>
        </w:rPr>
      </w:pPr>
    </w:p>
    <w:p w:rsidR="00A33E4A" w:rsidRDefault="00A33E4A" w:rsidP="00B51C0E">
      <w:pPr>
        <w:spacing w:line="360" w:lineRule="auto"/>
        <w:rPr>
          <w:rFonts w:eastAsiaTheme="minorEastAsia"/>
          <w:lang w:val="da-DK"/>
        </w:rPr>
      </w:pPr>
    </w:p>
    <w:p w:rsidR="00A33E4A" w:rsidRDefault="00A33E4A" w:rsidP="00B51C0E">
      <w:pPr>
        <w:spacing w:line="360" w:lineRule="auto"/>
        <w:rPr>
          <w:rFonts w:eastAsiaTheme="minorEastAsia"/>
          <w:lang w:val="da-DK"/>
        </w:rPr>
      </w:pPr>
    </w:p>
    <w:p w:rsidR="00A33E4A" w:rsidRDefault="00A33E4A" w:rsidP="00B51C0E">
      <w:pPr>
        <w:spacing w:line="360" w:lineRule="auto"/>
        <w:rPr>
          <w:rFonts w:eastAsiaTheme="minorEastAsia"/>
          <w:lang w:val="da-DK"/>
        </w:rPr>
      </w:pPr>
    </w:p>
    <w:p w:rsidR="00A33E4A" w:rsidRDefault="00A33E4A" w:rsidP="00B51C0E">
      <w:pPr>
        <w:spacing w:line="360" w:lineRule="auto"/>
        <w:rPr>
          <w:rFonts w:eastAsiaTheme="minorEastAsia"/>
          <w:lang w:val="da-DK"/>
        </w:rPr>
      </w:pPr>
    </w:p>
    <w:p w:rsidR="00A33E4A" w:rsidRDefault="00A33E4A" w:rsidP="00B51C0E">
      <w:pPr>
        <w:spacing w:line="360" w:lineRule="auto"/>
        <w:rPr>
          <w:rFonts w:eastAsiaTheme="minorEastAsia"/>
          <w:lang w:val="da-DK"/>
        </w:rPr>
      </w:pPr>
    </w:p>
    <w:p w:rsidR="00A33E4A" w:rsidRDefault="00A33E4A" w:rsidP="00B51C0E">
      <w:pPr>
        <w:spacing w:line="360" w:lineRule="auto"/>
        <w:rPr>
          <w:rFonts w:eastAsiaTheme="minorEastAsia"/>
          <w:lang w:val="da-DK"/>
        </w:rPr>
      </w:pPr>
    </w:p>
    <w:p w:rsidR="00A33E4A" w:rsidRDefault="00A33E4A" w:rsidP="00B51C0E">
      <w:pPr>
        <w:spacing w:line="360" w:lineRule="auto"/>
        <w:rPr>
          <w:rFonts w:eastAsiaTheme="minorEastAsia"/>
          <w:lang w:val="da-DK"/>
        </w:rPr>
      </w:pPr>
    </w:p>
    <w:p w:rsidR="00A33E4A" w:rsidRDefault="00A33E4A" w:rsidP="00B51C0E">
      <w:pPr>
        <w:spacing w:line="360" w:lineRule="auto"/>
        <w:rPr>
          <w:rFonts w:eastAsiaTheme="minorEastAsia"/>
          <w:lang w:val="da-DK"/>
        </w:rPr>
      </w:pPr>
    </w:p>
    <w:p w:rsidR="00A33E4A" w:rsidRDefault="00A33E4A" w:rsidP="00B51C0E">
      <w:pPr>
        <w:spacing w:line="360" w:lineRule="auto"/>
        <w:rPr>
          <w:rFonts w:eastAsiaTheme="minorEastAsia"/>
          <w:lang w:val="da-DK"/>
        </w:rPr>
      </w:pPr>
    </w:p>
    <w:p w:rsidR="00A33E4A" w:rsidRDefault="00A33E4A" w:rsidP="00B51C0E">
      <w:pPr>
        <w:spacing w:line="360" w:lineRule="auto"/>
        <w:rPr>
          <w:rFonts w:eastAsiaTheme="minorEastAsia"/>
          <w:lang w:val="da-DK"/>
        </w:rPr>
      </w:pPr>
    </w:p>
    <w:p w:rsidR="00A33E4A" w:rsidRPr="007B7F04" w:rsidRDefault="00A33E4A" w:rsidP="00B51C0E">
      <w:pPr>
        <w:spacing w:line="360" w:lineRule="auto"/>
        <w:rPr>
          <w:rFonts w:eastAsiaTheme="minorEastAsia"/>
          <w:lang w:val="da-DK"/>
        </w:rPr>
      </w:pPr>
    </w:p>
    <w:p w:rsidR="00FD4648" w:rsidRDefault="00FD4648" w:rsidP="00B51C0E">
      <w:pPr>
        <w:spacing w:line="360" w:lineRule="auto"/>
        <w:rPr>
          <w:rFonts w:eastAsiaTheme="minorEastAsia"/>
          <w:lang w:val="da-DK"/>
        </w:rPr>
      </w:pPr>
    </w:p>
    <w:tbl>
      <w:tblPr>
        <w:tblpPr w:leftFromText="180" w:rightFromText="180" w:vertAnchor="text" w:horzAnchor="margin" w:tblpXSpec="center" w:tblpY="2253"/>
        <w:tblW w:w="10719" w:type="dxa"/>
        <w:tblLook w:val="04A0" w:firstRow="1" w:lastRow="0" w:firstColumn="1" w:lastColumn="0" w:noHBand="0" w:noVBand="1"/>
      </w:tblPr>
      <w:tblGrid>
        <w:gridCol w:w="2056"/>
        <w:gridCol w:w="1295"/>
        <w:gridCol w:w="717"/>
        <w:gridCol w:w="717"/>
        <w:gridCol w:w="717"/>
        <w:gridCol w:w="717"/>
        <w:gridCol w:w="717"/>
        <w:gridCol w:w="717"/>
        <w:gridCol w:w="717"/>
        <w:gridCol w:w="783"/>
        <w:gridCol w:w="783"/>
        <w:gridCol w:w="783"/>
      </w:tblGrid>
      <w:tr w:rsidR="00A33E4A" w:rsidRPr="00A33E4A" w:rsidTr="00A33E4A">
        <w:trPr>
          <w:trHeight w:val="231"/>
        </w:trPr>
        <w:tc>
          <w:tcPr>
            <w:tcW w:w="2056" w:type="dxa"/>
            <w:tcBorders>
              <w:top w:val="nil"/>
              <w:left w:val="nil"/>
              <w:bottom w:val="nil"/>
              <w:right w:val="nil"/>
            </w:tcBorders>
            <w:shd w:val="clear" w:color="auto" w:fill="auto"/>
            <w:noWrap/>
            <w:vAlign w:val="bottom"/>
            <w:hideMark/>
          </w:tcPr>
          <w:p w:rsidR="00A33E4A" w:rsidRPr="00A33E4A" w:rsidRDefault="00A33E4A" w:rsidP="00A33E4A">
            <w:pPr>
              <w:rPr>
                <w:rFonts w:ascii="Times New Roman" w:eastAsia="Times New Roman" w:hAnsi="Times New Roman" w:cs="Times New Roman"/>
                <w:lang w:eastAsia="en-GB"/>
              </w:rPr>
            </w:pPr>
          </w:p>
        </w:tc>
        <w:tc>
          <w:tcPr>
            <w:tcW w:w="1295" w:type="dxa"/>
            <w:tcBorders>
              <w:top w:val="nil"/>
              <w:left w:val="nil"/>
              <w:bottom w:val="nil"/>
              <w:right w:val="nil"/>
            </w:tcBorders>
            <w:shd w:val="clear" w:color="auto" w:fill="auto"/>
            <w:noWrap/>
            <w:hideMark/>
          </w:tcPr>
          <w:p w:rsidR="00A33E4A" w:rsidRPr="00A33E4A" w:rsidRDefault="00A33E4A" w:rsidP="00A33E4A">
            <w:pPr>
              <w:jc w:val="right"/>
              <w:rPr>
                <w:rFonts w:ascii="Arial" w:eastAsia="Times New Roman" w:hAnsi="Arial" w:cs="Arial"/>
                <w:b/>
                <w:bCs/>
                <w:sz w:val="20"/>
                <w:szCs w:val="20"/>
                <w:lang w:eastAsia="en-GB"/>
              </w:rPr>
            </w:pPr>
            <w:r w:rsidRPr="00A33E4A">
              <w:rPr>
                <w:rFonts w:ascii="Arial" w:eastAsia="Times New Roman" w:hAnsi="Arial" w:cs="Arial"/>
                <w:b/>
                <w:bCs/>
                <w:sz w:val="20"/>
                <w:szCs w:val="20"/>
                <w:lang w:eastAsia="en-GB"/>
              </w:rPr>
              <w:t>2009</w:t>
            </w:r>
          </w:p>
        </w:tc>
        <w:tc>
          <w:tcPr>
            <w:tcW w:w="717" w:type="dxa"/>
            <w:tcBorders>
              <w:top w:val="nil"/>
              <w:left w:val="nil"/>
              <w:bottom w:val="nil"/>
              <w:right w:val="nil"/>
            </w:tcBorders>
            <w:shd w:val="clear" w:color="auto" w:fill="auto"/>
            <w:noWrap/>
            <w:hideMark/>
          </w:tcPr>
          <w:p w:rsidR="00A33E4A" w:rsidRPr="00A33E4A" w:rsidRDefault="00A33E4A" w:rsidP="00A33E4A">
            <w:pPr>
              <w:jc w:val="right"/>
              <w:rPr>
                <w:rFonts w:ascii="Arial" w:eastAsia="Times New Roman" w:hAnsi="Arial" w:cs="Arial"/>
                <w:b/>
                <w:bCs/>
                <w:sz w:val="20"/>
                <w:szCs w:val="20"/>
                <w:lang w:eastAsia="en-GB"/>
              </w:rPr>
            </w:pPr>
            <w:r w:rsidRPr="00A33E4A">
              <w:rPr>
                <w:rFonts w:ascii="Arial" w:eastAsia="Times New Roman" w:hAnsi="Arial" w:cs="Arial"/>
                <w:b/>
                <w:bCs/>
                <w:sz w:val="20"/>
                <w:szCs w:val="20"/>
                <w:lang w:eastAsia="en-GB"/>
              </w:rPr>
              <w:t>2010</w:t>
            </w:r>
          </w:p>
        </w:tc>
        <w:tc>
          <w:tcPr>
            <w:tcW w:w="717" w:type="dxa"/>
            <w:tcBorders>
              <w:top w:val="nil"/>
              <w:left w:val="nil"/>
              <w:bottom w:val="nil"/>
              <w:right w:val="nil"/>
            </w:tcBorders>
            <w:shd w:val="clear" w:color="auto" w:fill="auto"/>
            <w:noWrap/>
            <w:hideMark/>
          </w:tcPr>
          <w:p w:rsidR="00A33E4A" w:rsidRPr="00A33E4A" w:rsidRDefault="00A33E4A" w:rsidP="00A33E4A">
            <w:pPr>
              <w:jc w:val="right"/>
              <w:rPr>
                <w:rFonts w:ascii="Arial" w:eastAsia="Times New Roman" w:hAnsi="Arial" w:cs="Arial"/>
                <w:b/>
                <w:bCs/>
                <w:sz w:val="20"/>
                <w:szCs w:val="20"/>
                <w:lang w:eastAsia="en-GB"/>
              </w:rPr>
            </w:pPr>
            <w:r w:rsidRPr="00A33E4A">
              <w:rPr>
                <w:rFonts w:ascii="Arial" w:eastAsia="Times New Roman" w:hAnsi="Arial" w:cs="Arial"/>
                <w:b/>
                <w:bCs/>
                <w:sz w:val="20"/>
                <w:szCs w:val="20"/>
                <w:lang w:eastAsia="en-GB"/>
              </w:rPr>
              <w:t>2011</w:t>
            </w:r>
          </w:p>
        </w:tc>
        <w:tc>
          <w:tcPr>
            <w:tcW w:w="717" w:type="dxa"/>
            <w:tcBorders>
              <w:top w:val="nil"/>
              <w:left w:val="nil"/>
              <w:bottom w:val="nil"/>
              <w:right w:val="nil"/>
            </w:tcBorders>
            <w:shd w:val="clear" w:color="auto" w:fill="auto"/>
            <w:noWrap/>
            <w:hideMark/>
          </w:tcPr>
          <w:p w:rsidR="00A33E4A" w:rsidRPr="00A33E4A" w:rsidRDefault="00A33E4A" w:rsidP="00A33E4A">
            <w:pPr>
              <w:jc w:val="right"/>
              <w:rPr>
                <w:rFonts w:ascii="Arial" w:eastAsia="Times New Roman" w:hAnsi="Arial" w:cs="Arial"/>
                <w:b/>
                <w:bCs/>
                <w:sz w:val="20"/>
                <w:szCs w:val="20"/>
                <w:lang w:eastAsia="en-GB"/>
              </w:rPr>
            </w:pPr>
            <w:r w:rsidRPr="00A33E4A">
              <w:rPr>
                <w:rFonts w:ascii="Arial" w:eastAsia="Times New Roman" w:hAnsi="Arial" w:cs="Arial"/>
                <w:b/>
                <w:bCs/>
                <w:sz w:val="20"/>
                <w:szCs w:val="20"/>
                <w:lang w:eastAsia="en-GB"/>
              </w:rPr>
              <w:t>2012</w:t>
            </w:r>
          </w:p>
        </w:tc>
        <w:tc>
          <w:tcPr>
            <w:tcW w:w="717" w:type="dxa"/>
            <w:tcBorders>
              <w:top w:val="nil"/>
              <w:left w:val="nil"/>
              <w:bottom w:val="nil"/>
              <w:right w:val="nil"/>
            </w:tcBorders>
            <w:shd w:val="clear" w:color="auto" w:fill="auto"/>
            <w:noWrap/>
            <w:hideMark/>
          </w:tcPr>
          <w:p w:rsidR="00A33E4A" w:rsidRPr="00A33E4A" w:rsidRDefault="00A33E4A" w:rsidP="00A33E4A">
            <w:pPr>
              <w:jc w:val="right"/>
              <w:rPr>
                <w:rFonts w:ascii="Arial" w:eastAsia="Times New Roman" w:hAnsi="Arial" w:cs="Arial"/>
                <w:b/>
                <w:bCs/>
                <w:sz w:val="20"/>
                <w:szCs w:val="20"/>
                <w:lang w:eastAsia="en-GB"/>
              </w:rPr>
            </w:pPr>
            <w:r w:rsidRPr="00A33E4A">
              <w:rPr>
                <w:rFonts w:ascii="Arial" w:eastAsia="Times New Roman" w:hAnsi="Arial" w:cs="Arial"/>
                <w:b/>
                <w:bCs/>
                <w:sz w:val="20"/>
                <w:szCs w:val="20"/>
                <w:lang w:eastAsia="en-GB"/>
              </w:rPr>
              <w:t>2013</w:t>
            </w:r>
          </w:p>
        </w:tc>
        <w:tc>
          <w:tcPr>
            <w:tcW w:w="717" w:type="dxa"/>
            <w:tcBorders>
              <w:top w:val="nil"/>
              <w:left w:val="nil"/>
              <w:bottom w:val="nil"/>
              <w:right w:val="nil"/>
            </w:tcBorders>
            <w:shd w:val="clear" w:color="auto" w:fill="auto"/>
            <w:noWrap/>
            <w:hideMark/>
          </w:tcPr>
          <w:p w:rsidR="00A33E4A" w:rsidRPr="00A33E4A" w:rsidRDefault="00A33E4A" w:rsidP="00A33E4A">
            <w:pPr>
              <w:jc w:val="right"/>
              <w:rPr>
                <w:rFonts w:ascii="Arial" w:eastAsia="Times New Roman" w:hAnsi="Arial" w:cs="Arial"/>
                <w:b/>
                <w:bCs/>
                <w:sz w:val="20"/>
                <w:szCs w:val="20"/>
                <w:lang w:eastAsia="en-GB"/>
              </w:rPr>
            </w:pPr>
            <w:r w:rsidRPr="00A33E4A">
              <w:rPr>
                <w:rFonts w:ascii="Arial" w:eastAsia="Times New Roman" w:hAnsi="Arial" w:cs="Arial"/>
                <w:b/>
                <w:bCs/>
                <w:sz w:val="20"/>
                <w:szCs w:val="20"/>
                <w:lang w:eastAsia="en-GB"/>
              </w:rPr>
              <w:t>2014</w:t>
            </w:r>
          </w:p>
        </w:tc>
        <w:tc>
          <w:tcPr>
            <w:tcW w:w="717" w:type="dxa"/>
            <w:tcBorders>
              <w:top w:val="nil"/>
              <w:left w:val="nil"/>
              <w:bottom w:val="nil"/>
              <w:right w:val="nil"/>
            </w:tcBorders>
            <w:shd w:val="clear" w:color="auto" w:fill="auto"/>
            <w:noWrap/>
            <w:hideMark/>
          </w:tcPr>
          <w:p w:rsidR="00A33E4A" w:rsidRPr="00A33E4A" w:rsidRDefault="00A33E4A" w:rsidP="00A33E4A">
            <w:pPr>
              <w:jc w:val="right"/>
              <w:rPr>
                <w:rFonts w:ascii="Arial" w:eastAsia="Times New Roman" w:hAnsi="Arial" w:cs="Arial"/>
                <w:b/>
                <w:bCs/>
                <w:sz w:val="20"/>
                <w:szCs w:val="20"/>
                <w:lang w:eastAsia="en-GB"/>
              </w:rPr>
            </w:pPr>
            <w:r w:rsidRPr="00A33E4A">
              <w:rPr>
                <w:rFonts w:ascii="Arial" w:eastAsia="Times New Roman" w:hAnsi="Arial" w:cs="Arial"/>
                <w:b/>
                <w:bCs/>
                <w:sz w:val="20"/>
                <w:szCs w:val="20"/>
                <w:lang w:eastAsia="en-GB"/>
              </w:rPr>
              <w:t>2015</w:t>
            </w:r>
          </w:p>
        </w:tc>
        <w:tc>
          <w:tcPr>
            <w:tcW w:w="717" w:type="dxa"/>
            <w:tcBorders>
              <w:top w:val="nil"/>
              <w:left w:val="nil"/>
              <w:bottom w:val="nil"/>
              <w:right w:val="nil"/>
            </w:tcBorders>
            <w:shd w:val="clear" w:color="auto" w:fill="auto"/>
            <w:noWrap/>
            <w:hideMark/>
          </w:tcPr>
          <w:p w:rsidR="00A33E4A" w:rsidRPr="00A33E4A" w:rsidRDefault="00A33E4A" w:rsidP="00A33E4A">
            <w:pPr>
              <w:jc w:val="right"/>
              <w:rPr>
                <w:rFonts w:ascii="Arial" w:eastAsia="Times New Roman" w:hAnsi="Arial" w:cs="Arial"/>
                <w:b/>
                <w:bCs/>
                <w:sz w:val="20"/>
                <w:szCs w:val="20"/>
                <w:lang w:eastAsia="en-GB"/>
              </w:rPr>
            </w:pPr>
            <w:r w:rsidRPr="00A33E4A">
              <w:rPr>
                <w:rFonts w:ascii="Arial" w:eastAsia="Times New Roman" w:hAnsi="Arial" w:cs="Arial"/>
                <w:b/>
                <w:bCs/>
                <w:sz w:val="20"/>
                <w:szCs w:val="20"/>
                <w:lang w:eastAsia="en-GB"/>
              </w:rPr>
              <w:t>2016</w:t>
            </w:r>
          </w:p>
        </w:tc>
        <w:tc>
          <w:tcPr>
            <w:tcW w:w="783" w:type="dxa"/>
            <w:tcBorders>
              <w:top w:val="nil"/>
              <w:left w:val="nil"/>
              <w:bottom w:val="nil"/>
              <w:right w:val="nil"/>
            </w:tcBorders>
            <w:shd w:val="clear" w:color="auto" w:fill="auto"/>
            <w:noWrap/>
            <w:hideMark/>
          </w:tcPr>
          <w:p w:rsidR="00A33E4A" w:rsidRPr="00A33E4A" w:rsidRDefault="00A33E4A" w:rsidP="00A33E4A">
            <w:pPr>
              <w:rPr>
                <w:rFonts w:ascii="Arial" w:eastAsia="Times New Roman" w:hAnsi="Arial" w:cs="Arial"/>
                <w:b/>
                <w:bCs/>
                <w:sz w:val="20"/>
                <w:szCs w:val="20"/>
                <w:lang w:eastAsia="en-GB"/>
              </w:rPr>
            </w:pPr>
            <w:r w:rsidRPr="00A33E4A">
              <w:rPr>
                <w:rFonts w:ascii="Arial" w:eastAsia="Times New Roman" w:hAnsi="Arial" w:cs="Arial"/>
                <w:b/>
                <w:bCs/>
                <w:sz w:val="20"/>
                <w:szCs w:val="20"/>
                <w:lang w:eastAsia="en-GB"/>
              </w:rPr>
              <w:t>2017*</w:t>
            </w:r>
          </w:p>
        </w:tc>
        <w:tc>
          <w:tcPr>
            <w:tcW w:w="783" w:type="dxa"/>
            <w:tcBorders>
              <w:top w:val="nil"/>
              <w:left w:val="nil"/>
              <w:bottom w:val="nil"/>
              <w:right w:val="nil"/>
            </w:tcBorders>
            <w:shd w:val="clear" w:color="auto" w:fill="auto"/>
            <w:noWrap/>
            <w:hideMark/>
          </w:tcPr>
          <w:p w:rsidR="00A33E4A" w:rsidRPr="00A33E4A" w:rsidRDefault="00A33E4A" w:rsidP="00A33E4A">
            <w:pPr>
              <w:rPr>
                <w:rFonts w:ascii="Arial" w:eastAsia="Times New Roman" w:hAnsi="Arial" w:cs="Arial"/>
                <w:b/>
                <w:bCs/>
                <w:sz w:val="20"/>
                <w:szCs w:val="20"/>
                <w:lang w:eastAsia="en-GB"/>
              </w:rPr>
            </w:pPr>
            <w:r w:rsidRPr="00A33E4A">
              <w:rPr>
                <w:rFonts w:ascii="Arial" w:eastAsia="Times New Roman" w:hAnsi="Arial" w:cs="Arial"/>
                <w:b/>
                <w:bCs/>
                <w:sz w:val="20"/>
                <w:szCs w:val="20"/>
                <w:lang w:eastAsia="en-GB"/>
              </w:rPr>
              <w:t>2018*</w:t>
            </w:r>
          </w:p>
        </w:tc>
        <w:tc>
          <w:tcPr>
            <w:tcW w:w="783" w:type="dxa"/>
            <w:tcBorders>
              <w:top w:val="nil"/>
              <w:left w:val="nil"/>
              <w:bottom w:val="nil"/>
              <w:right w:val="nil"/>
            </w:tcBorders>
            <w:shd w:val="clear" w:color="auto" w:fill="auto"/>
            <w:noWrap/>
            <w:hideMark/>
          </w:tcPr>
          <w:p w:rsidR="00A33E4A" w:rsidRPr="00A33E4A" w:rsidRDefault="00A33E4A" w:rsidP="00A33E4A">
            <w:pPr>
              <w:rPr>
                <w:rFonts w:ascii="Arial" w:eastAsia="Times New Roman" w:hAnsi="Arial" w:cs="Arial"/>
                <w:b/>
                <w:bCs/>
                <w:sz w:val="20"/>
                <w:szCs w:val="20"/>
                <w:lang w:eastAsia="en-GB"/>
              </w:rPr>
            </w:pPr>
            <w:r w:rsidRPr="00A33E4A">
              <w:rPr>
                <w:rFonts w:ascii="Arial" w:eastAsia="Times New Roman" w:hAnsi="Arial" w:cs="Arial"/>
                <w:b/>
                <w:bCs/>
                <w:sz w:val="20"/>
                <w:szCs w:val="20"/>
                <w:lang w:eastAsia="en-GB"/>
              </w:rPr>
              <w:t>2019*</w:t>
            </w:r>
          </w:p>
        </w:tc>
      </w:tr>
      <w:tr w:rsidR="00A33E4A" w:rsidRPr="00A33E4A" w:rsidTr="00A33E4A">
        <w:trPr>
          <w:trHeight w:val="248"/>
        </w:trPr>
        <w:tc>
          <w:tcPr>
            <w:tcW w:w="2056" w:type="dxa"/>
            <w:tcBorders>
              <w:top w:val="nil"/>
              <w:left w:val="nil"/>
              <w:bottom w:val="nil"/>
              <w:right w:val="nil"/>
            </w:tcBorders>
            <w:shd w:val="clear" w:color="auto" w:fill="auto"/>
            <w:hideMark/>
          </w:tcPr>
          <w:p w:rsidR="00A33E4A" w:rsidRPr="00A33E4A" w:rsidRDefault="00A33E4A" w:rsidP="00A33E4A">
            <w:pPr>
              <w:rPr>
                <w:rFonts w:ascii="Arial" w:eastAsia="Times New Roman" w:hAnsi="Arial" w:cs="Arial"/>
                <w:sz w:val="20"/>
                <w:szCs w:val="20"/>
                <w:lang w:eastAsia="en-GB"/>
              </w:rPr>
            </w:pPr>
            <w:r w:rsidRPr="00A33E4A">
              <w:rPr>
                <w:rFonts w:ascii="Arial" w:eastAsia="Times New Roman" w:hAnsi="Arial" w:cs="Arial"/>
                <w:sz w:val="20"/>
                <w:szCs w:val="20"/>
                <w:lang w:eastAsia="en-GB"/>
              </w:rPr>
              <w:t xml:space="preserve">NPISH </w:t>
            </w:r>
            <w:proofErr w:type="spellStart"/>
            <w:r w:rsidRPr="00A33E4A">
              <w:rPr>
                <w:rFonts w:ascii="Arial" w:eastAsia="Times New Roman" w:hAnsi="Arial" w:cs="Arial"/>
                <w:sz w:val="20"/>
                <w:szCs w:val="20"/>
                <w:lang w:eastAsia="en-GB"/>
              </w:rPr>
              <w:t>forbrugsudgifter</w:t>
            </w:r>
            <w:proofErr w:type="spellEnd"/>
            <w:r w:rsidRPr="00A33E4A">
              <w:rPr>
                <w:rFonts w:ascii="Arial" w:eastAsia="Times New Roman" w:hAnsi="Arial" w:cs="Arial"/>
                <w:sz w:val="20"/>
                <w:szCs w:val="20"/>
                <w:lang w:eastAsia="en-GB"/>
              </w:rPr>
              <w:t xml:space="preserve"> </w:t>
            </w:r>
          </w:p>
        </w:tc>
        <w:tc>
          <w:tcPr>
            <w:tcW w:w="1295" w:type="dxa"/>
            <w:tcBorders>
              <w:top w:val="nil"/>
              <w:left w:val="nil"/>
              <w:bottom w:val="nil"/>
              <w:right w:val="nil"/>
            </w:tcBorders>
            <w:shd w:val="clear" w:color="auto" w:fill="auto"/>
            <w:noWrap/>
            <w:hideMark/>
          </w:tcPr>
          <w:p w:rsidR="00A33E4A" w:rsidRPr="00A33E4A" w:rsidRDefault="00A33E4A" w:rsidP="00A33E4A">
            <w:pPr>
              <w:jc w:val="right"/>
              <w:rPr>
                <w:rFonts w:ascii="Arial" w:eastAsia="Times New Roman" w:hAnsi="Arial" w:cs="Arial"/>
                <w:color w:val="000000"/>
                <w:sz w:val="20"/>
                <w:szCs w:val="20"/>
                <w:lang w:eastAsia="en-GB"/>
              </w:rPr>
            </w:pPr>
            <w:r w:rsidRPr="00A33E4A">
              <w:rPr>
                <w:rFonts w:ascii="Arial" w:eastAsia="Times New Roman" w:hAnsi="Arial" w:cs="Arial"/>
                <w:color w:val="000000"/>
                <w:sz w:val="20"/>
                <w:szCs w:val="20"/>
                <w:lang w:eastAsia="en-GB"/>
              </w:rPr>
              <w:t>27.7</w:t>
            </w:r>
          </w:p>
        </w:tc>
        <w:tc>
          <w:tcPr>
            <w:tcW w:w="717" w:type="dxa"/>
            <w:tcBorders>
              <w:top w:val="nil"/>
              <w:left w:val="nil"/>
              <w:bottom w:val="nil"/>
              <w:right w:val="nil"/>
            </w:tcBorders>
            <w:shd w:val="clear" w:color="auto" w:fill="auto"/>
            <w:noWrap/>
            <w:hideMark/>
          </w:tcPr>
          <w:p w:rsidR="00A33E4A" w:rsidRPr="00A33E4A" w:rsidRDefault="00A33E4A" w:rsidP="00A33E4A">
            <w:pPr>
              <w:jc w:val="right"/>
              <w:rPr>
                <w:rFonts w:ascii="Arial" w:eastAsia="Times New Roman" w:hAnsi="Arial" w:cs="Arial"/>
                <w:color w:val="000000"/>
                <w:sz w:val="20"/>
                <w:szCs w:val="20"/>
                <w:lang w:eastAsia="en-GB"/>
              </w:rPr>
            </w:pPr>
            <w:r w:rsidRPr="00A33E4A">
              <w:rPr>
                <w:rFonts w:ascii="Arial" w:eastAsia="Times New Roman" w:hAnsi="Arial" w:cs="Arial"/>
                <w:color w:val="000000"/>
                <w:sz w:val="20"/>
                <w:szCs w:val="20"/>
                <w:lang w:eastAsia="en-GB"/>
              </w:rPr>
              <w:t>27.9</w:t>
            </w:r>
          </w:p>
        </w:tc>
        <w:tc>
          <w:tcPr>
            <w:tcW w:w="717" w:type="dxa"/>
            <w:tcBorders>
              <w:top w:val="nil"/>
              <w:left w:val="nil"/>
              <w:bottom w:val="nil"/>
              <w:right w:val="nil"/>
            </w:tcBorders>
            <w:shd w:val="clear" w:color="auto" w:fill="auto"/>
            <w:noWrap/>
            <w:hideMark/>
          </w:tcPr>
          <w:p w:rsidR="00A33E4A" w:rsidRPr="00A33E4A" w:rsidRDefault="00A33E4A" w:rsidP="00A33E4A">
            <w:pPr>
              <w:jc w:val="right"/>
              <w:rPr>
                <w:rFonts w:ascii="Arial" w:eastAsia="Times New Roman" w:hAnsi="Arial" w:cs="Arial"/>
                <w:color w:val="000000"/>
                <w:sz w:val="20"/>
                <w:szCs w:val="20"/>
                <w:lang w:eastAsia="en-GB"/>
              </w:rPr>
            </w:pPr>
            <w:r w:rsidRPr="00A33E4A">
              <w:rPr>
                <w:rFonts w:ascii="Arial" w:eastAsia="Times New Roman" w:hAnsi="Arial" w:cs="Arial"/>
                <w:color w:val="000000"/>
                <w:sz w:val="20"/>
                <w:szCs w:val="20"/>
                <w:lang w:eastAsia="en-GB"/>
              </w:rPr>
              <w:t>29</w:t>
            </w:r>
          </w:p>
        </w:tc>
        <w:tc>
          <w:tcPr>
            <w:tcW w:w="717" w:type="dxa"/>
            <w:tcBorders>
              <w:top w:val="nil"/>
              <w:left w:val="nil"/>
              <w:bottom w:val="nil"/>
              <w:right w:val="nil"/>
            </w:tcBorders>
            <w:shd w:val="clear" w:color="auto" w:fill="auto"/>
            <w:noWrap/>
            <w:hideMark/>
          </w:tcPr>
          <w:p w:rsidR="00A33E4A" w:rsidRPr="00A33E4A" w:rsidRDefault="00A33E4A" w:rsidP="00A33E4A">
            <w:pPr>
              <w:jc w:val="right"/>
              <w:rPr>
                <w:rFonts w:ascii="Arial" w:eastAsia="Times New Roman" w:hAnsi="Arial" w:cs="Arial"/>
                <w:color w:val="000000"/>
                <w:sz w:val="20"/>
                <w:szCs w:val="20"/>
                <w:lang w:eastAsia="en-GB"/>
              </w:rPr>
            </w:pPr>
            <w:r w:rsidRPr="00A33E4A">
              <w:rPr>
                <w:rFonts w:ascii="Arial" w:eastAsia="Times New Roman" w:hAnsi="Arial" w:cs="Arial"/>
                <w:color w:val="000000"/>
                <w:sz w:val="20"/>
                <w:szCs w:val="20"/>
                <w:lang w:eastAsia="en-GB"/>
              </w:rPr>
              <w:t>30.3</w:t>
            </w:r>
          </w:p>
        </w:tc>
        <w:tc>
          <w:tcPr>
            <w:tcW w:w="717" w:type="dxa"/>
            <w:tcBorders>
              <w:top w:val="nil"/>
              <w:left w:val="nil"/>
              <w:bottom w:val="nil"/>
              <w:right w:val="nil"/>
            </w:tcBorders>
            <w:shd w:val="clear" w:color="auto" w:fill="auto"/>
            <w:noWrap/>
            <w:hideMark/>
          </w:tcPr>
          <w:p w:rsidR="00A33E4A" w:rsidRPr="00A33E4A" w:rsidRDefault="00A33E4A" w:rsidP="00A33E4A">
            <w:pPr>
              <w:jc w:val="right"/>
              <w:rPr>
                <w:rFonts w:ascii="Arial" w:eastAsia="Times New Roman" w:hAnsi="Arial" w:cs="Arial"/>
                <w:color w:val="000000"/>
                <w:sz w:val="20"/>
                <w:szCs w:val="20"/>
                <w:lang w:eastAsia="en-GB"/>
              </w:rPr>
            </w:pPr>
            <w:r w:rsidRPr="00A33E4A">
              <w:rPr>
                <w:rFonts w:ascii="Arial" w:eastAsia="Times New Roman" w:hAnsi="Arial" w:cs="Arial"/>
                <w:color w:val="000000"/>
                <w:sz w:val="20"/>
                <w:szCs w:val="20"/>
                <w:lang w:eastAsia="en-GB"/>
              </w:rPr>
              <w:t>29.2</w:t>
            </w:r>
          </w:p>
        </w:tc>
        <w:tc>
          <w:tcPr>
            <w:tcW w:w="717" w:type="dxa"/>
            <w:tcBorders>
              <w:top w:val="nil"/>
              <w:left w:val="nil"/>
              <w:bottom w:val="nil"/>
              <w:right w:val="nil"/>
            </w:tcBorders>
            <w:shd w:val="clear" w:color="auto" w:fill="auto"/>
            <w:noWrap/>
            <w:hideMark/>
          </w:tcPr>
          <w:p w:rsidR="00A33E4A" w:rsidRPr="00A33E4A" w:rsidRDefault="00A33E4A" w:rsidP="00A33E4A">
            <w:pPr>
              <w:jc w:val="right"/>
              <w:rPr>
                <w:rFonts w:ascii="Arial" w:eastAsia="Times New Roman" w:hAnsi="Arial" w:cs="Arial"/>
                <w:color w:val="000000"/>
                <w:sz w:val="20"/>
                <w:szCs w:val="20"/>
                <w:lang w:eastAsia="en-GB"/>
              </w:rPr>
            </w:pPr>
            <w:r w:rsidRPr="00A33E4A">
              <w:rPr>
                <w:rFonts w:ascii="Arial" w:eastAsia="Times New Roman" w:hAnsi="Arial" w:cs="Arial"/>
                <w:color w:val="000000"/>
                <w:sz w:val="20"/>
                <w:szCs w:val="20"/>
                <w:lang w:eastAsia="en-GB"/>
              </w:rPr>
              <w:t>28.8</w:t>
            </w:r>
          </w:p>
        </w:tc>
        <w:tc>
          <w:tcPr>
            <w:tcW w:w="717" w:type="dxa"/>
            <w:tcBorders>
              <w:top w:val="nil"/>
              <w:left w:val="nil"/>
              <w:bottom w:val="nil"/>
              <w:right w:val="nil"/>
            </w:tcBorders>
            <w:shd w:val="clear" w:color="auto" w:fill="auto"/>
            <w:noWrap/>
            <w:hideMark/>
          </w:tcPr>
          <w:p w:rsidR="00A33E4A" w:rsidRPr="00A33E4A" w:rsidRDefault="00A33E4A" w:rsidP="00A33E4A">
            <w:pPr>
              <w:jc w:val="right"/>
              <w:rPr>
                <w:rFonts w:ascii="Arial" w:eastAsia="Times New Roman" w:hAnsi="Arial" w:cs="Arial"/>
                <w:color w:val="000000"/>
                <w:sz w:val="20"/>
                <w:szCs w:val="20"/>
                <w:lang w:eastAsia="en-GB"/>
              </w:rPr>
            </w:pPr>
            <w:r w:rsidRPr="00A33E4A">
              <w:rPr>
                <w:rFonts w:ascii="Arial" w:eastAsia="Times New Roman" w:hAnsi="Arial" w:cs="Arial"/>
                <w:color w:val="000000"/>
                <w:sz w:val="20"/>
                <w:szCs w:val="20"/>
                <w:lang w:eastAsia="en-GB"/>
              </w:rPr>
              <w:t>28.8</w:t>
            </w:r>
          </w:p>
        </w:tc>
        <w:tc>
          <w:tcPr>
            <w:tcW w:w="717" w:type="dxa"/>
            <w:tcBorders>
              <w:top w:val="nil"/>
              <w:left w:val="nil"/>
              <w:bottom w:val="nil"/>
              <w:right w:val="nil"/>
            </w:tcBorders>
            <w:shd w:val="clear" w:color="auto" w:fill="auto"/>
            <w:noWrap/>
            <w:hideMark/>
          </w:tcPr>
          <w:p w:rsidR="00A33E4A" w:rsidRPr="00A33E4A" w:rsidRDefault="00A33E4A" w:rsidP="00A33E4A">
            <w:pPr>
              <w:jc w:val="right"/>
              <w:rPr>
                <w:rFonts w:ascii="Arial" w:eastAsia="Times New Roman" w:hAnsi="Arial" w:cs="Arial"/>
                <w:color w:val="000000"/>
                <w:sz w:val="20"/>
                <w:szCs w:val="20"/>
                <w:lang w:eastAsia="en-GB"/>
              </w:rPr>
            </w:pPr>
            <w:r w:rsidRPr="00A33E4A">
              <w:rPr>
                <w:rFonts w:ascii="Arial" w:eastAsia="Times New Roman" w:hAnsi="Arial" w:cs="Arial"/>
                <w:color w:val="000000"/>
                <w:sz w:val="20"/>
                <w:szCs w:val="20"/>
                <w:lang w:eastAsia="en-GB"/>
              </w:rPr>
              <w:t>29.5</w:t>
            </w:r>
          </w:p>
        </w:tc>
        <w:tc>
          <w:tcPr>
            <w:tcW w:w="783" w:type="dxa"/>
            <w:tcBorders>
              <w:top w:val="nil"/>
              <w:left w:val="nil"/>
              <w:bottom w:val="nil"/>
              <w:right w:val="nil"/>
            </w:tcBorders>
            <w:shd w:val="clear" w:color="auto" w:fill="auto"/>
            <w:noWrap/>
            <w:hideMark/>
          </w:tcPr>
          <w:p w:rsidR="00A33E4A" w:rsidRPr="00A33E4A" w:rsidRDefault="00A33E4A" w:rsidP="00A33E4A">
            <w:pPr>
              <w:jc w:val="right"/>
              <w:rPr>
                <w:rFonts w:ascii="Arial" w:eastAsia="Times New Roman" w:hAnsi="Arial" w:cs="Arial"/>
                <w:color w:val="000000"/>
                <w:sz w:val="20"/>
                <w:szCs w:val="20"/>
                <w:lang w:eastAsia="en-GB"/>
              </w:rPr>
            </w:pPr>
            <w:r w:rsidRPr="00A33E4A">
              <w:rPr>
                <w:rFonts w:ascii="Arial" w:eastAsia="Times New Roman" w:hAnsi="Arial" w:cs="Arial"/>
                <w:color w:val="000000"/>
                <w:sz w:val="20"/>
                <w:szCs w:val="20"/>
                <w:lang w:eastAsia="en-GB"/>
              </w:rPr>
              <w:t>29.1</w:t>
            </w:r>
          </w:p>
        </w:tc>
        <w:tc>
          <w:tcPr>
            <w:tcW w:w="783" w:type="dxa"/>
            <w:tcBorders>
              <w:top w:val="nil"/>
              <w:left w:val="nil"/>
              <w:bottom w:val="nil"/>
              <w:right w:val="nil"/>
            </w:tcBorders>
            <w:shd w:val="clear" w:color="auto" w:fill="auto"/>
            <w:noWrap/>
            <w:hideMark/>
          </w:tcPr>
          <w:p w:rsidR="00A33E4A" w:rsidRPr="00A33E4A" w:rsidRDefault="00A33E4A" w:rsidP="00A33E4A">
            <w:pPr>
              <w:jc w:val="right"/>
              <w:rPr>
                <w:rFonts w:ascii="Arial" w:eastAsia="Times New Roman" w:hAnsi="Arial" w:cs="Arial"/>
                <w:color w:val="000000"/>
                <w:sz w:val="20"/>
                <w:szCs w:val="20"/>
                <w:lang w:eastAsia="en-GB"/>
              </w:rPr>
            </w:pPr>
            <w:r w:rsidRPr="00A33E4A">
              <w:rPr>
                <w:rFonts w:ascii="Arial" w:eastAsia="Times New Roman" w:hAnsi="Arial" w:cs="Arial"/>
                <w:color w:val="000000"/>
                <w:sz w:val="20"/>
                <w:szCs w:val="20"/>
                <w:lang w:eastAsia="en-GB"/>
              </w:rPr>
              <w:t>28.1</w:t>
            </w:r>
          </w:p>
        </w:tc>
        <w:tc>
          <w:tcPr>
            <w:tcW w:w="783" w:type="dxa"/>
            <w:tcBorders>
              <w:top w:val="nil"/>
              <w:left w:val="nil"/>
              <w:bottom w:val="nil"/>
              <w:right w:val="nil"/>
            </w:tcBorders>
            <w:shd w:val="clear" w:color="auto" w:fill="auto"/>
            <w:noWrap/>
            <w:hideMark/>
          </w:tcPr>
          <w:p w:rsidR="00A33E4A" w:rsidRPr="00A33E4A" w:rsidRDefault="00A33E4A" w:rsidP="00A33E4A">
            <w:pPr>
              <w:jc w:val="right"/>
              <w:rPr>
                <w:rFonts w:ascii="Arial" w:eastAsia="Times New Roman" w:hAnsi="Arial" w:cs="Arial"/>
                <w:color w:val="000000"/>
                <w:sz w:val="20"/>
                <w:szCs w:val="20"/>
                <w:lang w:eastAsia="en-GB"/>
              </w:rPr>
            </w:pPr>
            <w:r w:rsidRPr="00A33E4A">
              <w:rPr>
                <w:rFonts w:ascii="Arial" w:eastAsia="Times New Roman" w:hAnsi="Arial" w:cs="Arial"/>
                <w:color w:val="000000"/>
                <w:sz w:val="20"/>
                <w:szCs w:val="20"/>
                <w:lang w:eastAsia="en-GB"/>
              </w:rPr>
              <w:t>28.4</w:t>
            </w:r>
          </w:p>
        </w:tc>
      </w:tr>
      <w:tr w:rsidR="00A33E4A" w:rsidRPr="00A33E4A" w:rsidTr="00A33E4A">
        <w:trPr>
          <w:trHeight w:val="568"/>
        </w:trPr>
        <w:tc>
          <w:tcPr>
            <w:tcW w:w="2056" w:type="dxa"/>
            <w:tcBorders>
              <w:top w:val="nil"/>
              <w:left w:val="nil"/>
              <w:bottom w:val="nil"/>
              <w:right w:val="nil"/>
            </w:tcBorders>
            <w:shd w:val="clear" w:color="auto" w:fill="auto"/>
            <w:hideMark/>
          </w:tcPr>
          <w:p w:rsidR="00A33E4A" w:rsidRPr="00A33E4A" w:rsidRDefault="00A33E4A" w:rsidP="00A33E4A">
            <w:pPr>
              <w:rPr>
                <w:rFonts w:ascii="Arial" w:eastAsia="Times New Roman" w:hAnsi="Arial" w:cs="Arial"/>
                <w:sz w:val="20"/>
                <w:szCs w:val="20"/>
                <w:lang w:eastAsia="en-GB"/>
              </w:rPr>
            </w:pPr>
            <w:proofErr w:type="spellStart"/>
            <w:r w:rsidRPr="00A33E4A">
              <w:rPr>
                <w:rFonts w:ascii="Arial" w:eastAsia="Times New Roman" w:hAnsi="Arial" w:cs="Arial"/>
                <w:sz w:val="20"/>
                <w:szCs w:val="20"/>
                <w:lang w:eastAsia="en-GB"/>
              </w:rPr>
              <w:t>Husholdningernes</w:t>
            </w:r>
            <w:proofErr w:type="spellEnd"/>
            <w:r w:rsidRPr="00A33E4A">
              <w:rPr>
                <w:rFonts w:ascii="Arial" w:eastAsia="Times New Roman" w:hAnsi="Arial" w:cs="Arial"/>
                <w:sz w:val="20"/>
                <w:szCs w:val="20"/>
                <w:lang w:eastAsia="en-GB"/>
              </w:rPr>
              <w:t xml:space="preserve"> </w:t>
            </w:r>
            <w:proofErr w:type="spellStart"/>
            <w:r w:rsidRPr="00A33E4A">
              <w:rPr>
                <w:rFonts w:ascii="Arial" w:eastAsia="Times New Roman" w:hAnsi="Arial" w:cs="Arial"/>
                <w:sz w:val="20"/>
                <w:szCs w:val="20"/>
                <w:lang w:eastAsia="en-GB"/>
              </w:rPr>
              <w:t>forbrugsudgifter</w:t>
            </w:r>
            <w:proofErr w:type="spellEnd"/>
            <w:r w:rsidRPr="00A33E4A">
              <w:rPr>
                <w:rFonts w:ascii="Arial" w:eastAsia="Times New Roman" w:hAnsi="Arial" w:cs="Arial"/>
                <w:color w:val="000000"/>
                <w:sz w:val="20"/>
                <w:szCs w:val="20"/>
                <w:lang w:eastAsia="en-GB"/>
              </w:rPr>
              <w:t xml:space="preserve"> </w:t>
            </w:r>
          </w:p>
        </w:tc>
        <w:tc>
          <w:tcPr>
            <w:tcW w:w="1295" w:type="dxa"/>
            <w:tcBorders>
              <w:top w:val="nil"/>
              <w:left w:val="nil"/>
              <w:bottom w:val="nil"/>
              <w:right w:val="nil"/>
            </w:tcBorders>
            <w:shd w:val="clear" w:color="auto" w:fill="auto"/>
            <w:noWrap/>
            <w:hideMark/>
          </w:tcPr>
          <w:p w:rsidR="00A33E4A" w:rsidRPr="00A33E4A" w:rsidRDefault="00A33E4A" w:rsidP="00A33E4A">
            <w:pPr>
              <w:jc w:val="right"/>
              <w:rPr>
                <w:rFonts w:ascii="Arial" w:eastAsia="Times New Roman" w:hAnsi="Arial" w:cs="Arial"/>
                <w:color w:val="000000"/>
                <w:sz w:val="20"/>
                <w:szCs w:val="20"/>
                <w:lang w:eastAsia="en-GB"/>
              </w:rPr>
            </w:pPr>
            <w:r w:rsidRPr="00A33E4A">
              <w:rPr>
                <w:rFonts w:ascii="Arial" w:eastAsia="Times New Roman" w:hAnsi="Arial" w:cs="Arial"/>
                <w:color w:val="000000"/>
                <w:sz w:val="20"/>
                <w:szCs w:val="20"/>
                <w:lang w:eastAsia="en-GB"/>
              </w:rPr>
              <w:t>827.8</w:t>
            </w:r>
          </w:p>
        </w:tc>
        <w:tc>
          <w:tcPr>
            <w:tcW w:w="717" w:type="dxa"/>
            <w:tcBorders>
              <w:top w:val="nil"/>
              <w:left w:val="nil"/>
              <w:bottom w:val="nil"/>
              <w:right w:val="nil"/>
            </w:tcBorders>
            <w:shd w:val="clear" w:color="auto" w:fill="auto"/>
            <w:noWrap/>
            <w:hideMark/>
          </w:tcPr>
          <w:p w:rsidR="00A33E4A" w:rsidRPr="00A33E4A" w:rsidRDefault="00A33E4A" w:rsidP="00A33E4A">
            <w:pPr>
              <w:jc w:val="right"/>
              <w:rPr>
                <w:rFonts w:ascii="Arial" w:eastAsia="Times New Roman" w:hAnsi="Arial" w:cs="Arial"/>
                <w:color w:val="000000"/>
                <w:sz w:val="20"/>
                <w:szCs w:val="20"/>
                <w:lang w:eastAsia="en-GB"/>
              </w:rPr>
            </w:pPr>
            <w:r w:rsidRPr="00A33E4A">
              <w:rPr>
                <w:rFonts w:ascii="Arial" w:eastAsia="Times New Roman" w:hAnsi="Arial" w:cs="Arial"/>
                <w:color w:val="000000"/>
                <w:sz w:val="20"/>
                <w:szCs w:val="20"/>
                <w:lang w:eastAsia="en-GB"/>
              </w:rPr>
              <w:t>834.3</w:t>
            </w:r>
          </w:p>
        </w:tc>
        <w:tc>
          <w:tcPr>
            <w:tcW w:w="717" w:type="dxa"/>
            <w:tcBorders>
              <w:top w:val="nil"/>
              <w:left w:val="nil"/>
              <w:bottom w:val="nil"/>
              <w:right w:val="nil"/>
            </w:tcBorders>
            <w:shd w:val="clear" w:color="auto" w:fill="auto"/>
            <w:noWrap/>
            <w:hideMark/>
          </w:tcPr>
          <w:p w:rsidR="00A33E4A" w:rsidRPr="00A33E4A" w:rsidRDefault="00A33E4A" w:rsidP="00A33E4A">
            <w:pPr>
              <w:jc w:val="right"/>
              <w:rPr>
                <w:rFonts w:ascii="Arial" w:eastAsia="Times New Roman" w:hAnsi="Arial" w:cs="Arial"/>
                <w:color w:val="000000"/>
                <w:sz w:val="20"/>
                <w:szCs w:val="20"/>
                <w:lang w:eastAsia="en-GB"/>
              </w:rPr>
            </w:pPr>
            <w:r w:rsidRPr="00A33E4A">
              <w:rPr>
                <w:rFonts w:ascii="Arial" w:eastAsia="Times New Roman" w:hAnsi="Arial" w:cs="Arial"/>
                <w:color w:val="000000"/>
                <w:sz w:val="20"/>
                <w:szCs w:val="20"/>
                <w:lang w:eastAsia="en-GB"/>
              </w:rPr>
              <w:t>835.6</w:t>
            </w:r>
          </w:p>
        </w:tc>
        <w:tc>
          <w:tcPr>
            <w:tcW w:w="717" w:type="dxa"/>
            <w:tcBorders>
              <w:top w:val="nil"/>
              <w:left w:val="nil"/>
              <w:bottom w:val="nil"/>
              <w:right w:val="nil"/>
            </w:tcBorders>
            <w:shd w:val="clear" w:color="auto" w:fill="auto"/>
            <w:noWrap/>
            <w:hideMark/>
          </w:tcPr>
          <w:p w:rsidR="00A33E4A" w:rsidRPr="00A33E4A" w:rsidRDefault="00A33E4A" w:rsidP="00A33E4A">
            <w:pPr>
              <w:jc w:val="right"/>
              <w:rPr>
                <w:rFonts w:ascii="Arial" w:eastAsia="Times New Roman" w:hAnsi="Arial" w:cs="Arial"/>
                <w:color w:val="000000"/>
                <w:sz w:val="20"/>
                <w:szCs w:val="20"/>
                <w:lang w:eastAsia="en-GB"/>
              </w:rPr>
            </w:pPr>
            <w:r w:rsidRPr="00A33E4A">
              <w:rPr>
                <w:rFonts w:ascii="Arial" w:eastAsia="Times New Roman" w:hAnsi="Arial" w:cs="Arial"/>
                <w:color w:val="000000"/>
                <w:sz w:val="20"/>
                <w:szCs w:val="20"/>
                <w:lang w:eastAsia="en-GB"/>
              </w:rPr>
              <w:t>838.7</w:t>
            </w:r>
          </w:p>
        </w:tc>
        <w:tc>
          <w:tcPr>
            <w:tcW w:w="717" w:type="dxa"/>
            <w:tcBorders>
              <w:top w:val="nil"/>
              <w:left w:val="nil"/>
              <w:bottom w:val="nil"/>
              <w:right w:val="nil"/>
            </w:tcBorders>
            <w:shd w:val="clear" w:color="auto" w:fill="auto"/>
            <w:noWrap/>
            <w:hideMark/>
          </w:tcPr>
          <w:p w:rsidR="00A33E4A" w:rsidRPr="00A33E4A" w:rsidRDefault="00A33E4A" w:rsidP="00A33E4A">
            <w:pPr>
              <w:jc w:val="right"/>
              <w:rPr>
                <w:rFonts w:ascii="Arial" w:eastAsia="Times New Roman" w:hAnsi="Arial" w:cs="Arial"/>
                <w:color w:val="000000"/>
                <w:sz w:val="20"/>
                <w:szCs w:val="20"/>
                <w:lang w:eastAsia="en-GB"/>
              </w:rPr>
            </w:pPr>
            <w:r w:rsidRPr="00A33E4A">
              <w:rPr>
                <w:rFonts w:ascii="Arial" w:eastAsia="Times New Roman" w:hAnsi="Arial" w:cs="Arial"/>
                <w:color w:val="000000"/>
                <w:sz w:val="20"/>
                <w:szCs w:val="20"/>
                <w:lang w:eastAsia="en-GB"/>
              </w:rPr>
              <w:t>842.2</w:t>
            </w:r>
          </w:p>
        </w:tc>
        <w:tc>
          <w:tcPr>
            <w:tcW w:w="717" w:type="dxa"/>
            <w:tcBorders>
              <w:top w:val="nil"/>
              <w:left w:val="nil"/>
              <w:bottom w:val="nil"/>
              <w:right w:val="nil"/>
            </w:tcBorders>
            <w:shd w:val="clear" w:color="auto" w:fill="auto"/>
            <w:noWrap/>
            <w:hideMark/>
          </w:tcPr>
          <w:p w:rsidR="00A33E4A" w:rsidRPr="00A33E4A" w:rsidRDefault="00A33E4A" w:rsidP="00A33E4A">
            <w:pPr>
              <w:jc w:val="right"/>
              <w:rPr>
                <w:rFonts w:ascii="Arial" w:eastAsia="Times New Roman" w:hAnsi="Arial" w:cs="Arial"/>
                <w:color w:val="000000"/>
                <w:sz w:val="20"/>
                <w:szCs w:val="20"/>
                <w:lang w:eastAsia="en-GB"/>
              </w:rPr>
            </w:pPr>
            <w:r w:rsidRPr="00A33E4A">
              <w:rPr>
                <w:rFonts w:ascii="Arial" w:eastAsia="Times New Roman" w:hAnsi="Arial" w:cs="Arial"/>
                <w:color w:val="000000"/>
                <w:sz w:val="20"/>
                <w:szCs w:val="20"/>
                <w:lang w:eastAsia="en-GB"/>
              </w:rPr>
              <w:t>850.6</w:t>
            </w:r>
          </w:p>
        </w:tc>
        <w:tc>
          <w:tcPr>
            <w:tcW w:w="717" w:type="dxa"/>
            <w:tcBorders>
              <w:top w:val="nil"/>
              <w:left w:val="nil"/>
              <w:bottom w:val="nil"/>
              <w:right w:val="nil"/>
            </w:tcBorders>
            <w:shd w:val="clear" w:color="auto" w:fill="auto"/>
            <w:noWrap/>
            <w:hideMark/>
          </w:tcPr>
          <w:p w:rsidR="00A33E4A" w:rsidRPr="00A33E4A" w:rsidRDefault="00A33E4A" w:rsidP="00A33E4A">
            <w:pPr>
              <w:jc w:val="right"/>
              <w:rPr>
                <w:rFonts w:ascii="Arial" w:eastAsia="Times New Roman" w:hAnsi="Arial" w:cs="Arial"/>
                <w:color w:val="000000"/>
                <w:sz w:val="20"/>
                <w:szCs w:val="20"/>
                <w:lang w:eastAsia="en-GB"/>
              </w:rPr>
            </w:pPr>
            <w:r w:rsidRPr="00A33E4A">
              <w:rPr>
                <w:rFonts w:ascii="Arial" w:eastAsia="Times New Roman" w:hAnsi="Arial" w:cs="Arial"/>
                <w:color w:val="000000"/>
                <w:sz w:val="20"/>
                <w:szCs w:val="20"/>
                <w:lang w:eastAsia="en-GB"/>
              </w:rPr>
              <w:t>870.6</w:t>
            </w:r>
          </w:p>
        </w:tc>
        <w:tc>
          <w:tcPr>
            <w:tcW w:w="717" w:type="dxa"/>
            <w:tcBorders>
              <w:top w:val="nil"/>
              <w:left w:val="nil"/>
              <w:bottom w:val="nil"/>
              <w:right w:val="nil"/>
            </w:tcBorders>
            <w:shd w:val="clear" w:color="auto" w:fill="auto"/>
            <w:noWrap/>
            <w:hideMark/>
          </w:tcPr>
          <w:p w:rsidR="00A33E4A" w:rsidRPr="00A33E4A" w:rsidRDefault="00A33E4A" w:rsidP="00A33E4A">
            <w:pPr>
              <w:jc w:val="right"/>
              <w:rPr>
                <w:rFonts w:ascii="Arial" w:eastAsia="Times New Roman" w:hAnsi="Arial" w:cs="Arial"/>
                <w:color w:val="000000"/>
                <w:sz w:val="20"/>
                <w:szCs w:val="20"/>
                <w:lang w:eastAsia="en-GB"/>
              </w:rPr>
            </w:pPr>
            <w:r w:rsidRPr="00A33E4A">
              <w:rPr>
                <w:rFonts w:ascii="Arial" w:eastAsia="Times New Roman" w:hAnsi="Arial" w:cs="Arial"/>
                <w:color w:val="000000"/>
                <w:sz w:val="20"/>
                <w:szCs w:val="20"/>
                <w:lang w:eastAsia="en-GB"/>
              </w:rPr>
              <w:t>891.7</w:t>
            </w:r>
          </w:p>
        </w:tc>
        <w:tc>
          <w:tcPr>
            <w:tcW w:w="783" w:type="dxa"/>
            <w:tcBorders>
              <w:top w:val="nil"/>
              <w:left w:val="nil"/>
              <w:bottom w:val="nil"/>
              <w:right w:val="nil"/>
            </w:tcBorders>
            <w:shd w:val="clear" w:color="auto" w:fill="auto"/>
            <w:noWrap/>
            <w:hideMark/>
          </w:tcPr>
          <w:p w:rsidR="00A33E4A" w:rsidRPr="00A33E4A" w:rsidRDefault="00A33E4A" w:rsidP="00A33E4A">
            <w:pPr>
              <w:jc w:val="right"/>
              <w:rPr>
                <w:rFonts w:ascii="Arial" w:eastAsia="Times New Roman" w:hAnsi="Arial" w:cs="Arial"/>
                <w:color w:val="000000"/>
                <w:sz w:val="20"/>
                <w:szCs w:val="20"/>
                <w:lang w:eastAsia="en-GB"/>
              </w:rPr>
            </w:pPr>
            <w:r w:rsidRPr="00A33E4A">
              <w:rPr>
                <w:rFonts w:ascii="Arial" w:eastAsia="Times New Roman" w:hAnsi="Arial" w:cs="Arial"/>
                <w:color w:val="000000"/>
                <w:sz w:val="20"/>
                <w:szCs w:val="20"/>
                <w:lang w:eastAsia="en-GB"/>
              </w:rPr>
              <w:t>906.8</w:t>
            </w:r>
          </w:p>
        </w:tc>
        <w:tc>
          <w:tcPr>
            <w:tcW w:w="783" w:type="dxa"/>
            <w:tcBorders>
              <w:top w:val="nil"/>
              <w:left w:val="nil"/>
              <w:bottom w:val="nil"/>
              <w:right w:val="nil"/>
            </w:tcBorders>
            <w:shd w:val="clear" w:color="auto" w:fill="auto"/>
            <w:noWrap/>
            <w:hideMark/>
          </w:tcPr>
          <w:p w:rsidR="00A33E4A" w:rsidRPr="00A33E4A" w:rsidRDefault="00A33E4A" w:rsidP="00A33E4A">
            <w:pPr>
              <w:jc w:val="right"/>
              <w:rPr>
                <w:rFonts w:ascii="Arial" w:eastAsia="Times New Roman" w:hAnsi="Arial" w:cs="Arial"/>
                <w:color w:val="000000"/>
                <w:sz w:val="20"/>
                <w:szCs w:val="20"/>
                <w:lang w:eastAsia="en-GB"/>
              </w:rPr>
            </w:pPr>
            <w:r w:rsidRPr="00A33E4A">
              <w:rPr>
                <w:rFonts w:ascii="Arial" w:eastAsia="Times New Roman" w:hAnsi="Arial" w:cs="Arial"/>
                <w:color w:val="000000"/>
                <w:sz w:val="20"/>
                <w:szCs w:val="20"/>
                <w:lang w:eastAsia="en-GB"/>
              </w:rPr>
              <w:t>932.6</w:t>
            </w:r>
          </w:p>
        </w:tc>
        <w:tc>
          <w:tcPr>
            <w:tcW w:w="783" w:type="dxa"/>
            <w:tcBorders>
              <w:top w:val="nil"/>
              <w:left w:val="nil"/>
              <w:bottom w:val="nil"/>
              <w:right w:val="nil"/>
            </w:tcBorders>
            <w:shd w:val="clear" w:color="auto" w:fill="auto"/>
            <w:noWrap/>
            <w:hideMark/>
          </w:tcPr>
          <w:p w:rsidR="00A33E4A" w:rsidRPr="00A33E4A" w:rsidRDefault="00A33E4A" w:rsidP="00A33E4A">
            <w:pPr>
              <w:jc w:val="right"/>
              <w:rPr>
                <w:rFonts w:ascii="Arial" w:eastAsia="Times New Roman" w:hAnsi="Arial" w:cs="Arial"/>
                <w:color w:val="000000"/>
                <w:sz w:val="20"/>
                <w:szCs w:val="20"/>
                <w:lang w:eastAsia="en-GB"/>
              </w:rPr>
            </w:pPr>
            <w:r w:rsidRPr="00A33E4A">
              <w:rPr>
                <w:rFonts w:ascii="Arial" w:eastAsia="Times New Roman" w:hAnsi="Arial" w:cs="Arial"/>
                <w:color w:val="000000"/>
                <w:sz w:val="20"/>
                <w:szCs w:val="20"/>
                <w:lang w:eastAsia="en-GB"/>
              </w:rPr>
              <w:t>953.6</w:t>
            </w:r>
          </w:p>
        </w:tc>
      </w:tr>
      <w:tr w:rsidR="00A33E4A" w:rsidRPr="00A33E4A" w:rsidTr="00A33E4A">
        <w:trPr>
          <w:trHeight w:val="231"/>
        </w:trPr>
        <w:tc>
          <w:tcPr>
            <w:tcW w:w="2056" w:type="dxa"/>
            <w:tcBorders>
              <w:top w:val="nil"/>
              <w:left w:val="nil"/>
              <w:bottom w:val="nil"/>
              <w:right w:val="nil"/>
            </w:tcBorders>
            <w:shd w:val="clear" w:color="auto" w:fill="auto"/>
            <w:noWrap/>
            <w:vAlign w:val="bottom"/>
            <w:hideMark/>
          </w:tcPr>
          <w:p w:rsidR="00A33E4A" w:rsidRPr="00A33E4A" w:rsidRDefault="00A33E4A" w:rsidP="00A33E4A">
            <w:pPr>
              <w:rPr>
                <w:rFonts w:ascii="Arial" w:eastAsia="Times New Roman" w:hAnsi="Arial" w:cs="Arial"/>
                <w:sz w:val="20"/>
                <w:szCs w:val="20"/>
                <w:lang w:eastAsia="en-GB"/>
              </w:rPr>
            </w:pPr>
            <w:proofErr w:type="spellStart"/>
            <w:r w:rsidRPr="00A33E4A">
              <w:rPr>
                <w:rFonts w:ascii="Arial" w:eastAsia="Times New Roman" w:hAnsi="Arial" w:cs="Arial"/>
                <w:sz w:val="20"/>
                <w:szCs w:val="20"/>
                <w:lang w:eastAsia="en-GB"/>
              </w:rPr>
              <w:t>Husholdning+NPISH</w:t>
            </w:r>
            <w:proofErr w:type="spellEnd"/>
          </w:p>
        </w:tc>
        <w:tc>
          <w:tcPr>
            <w:tcW w:w="1295" w:type="dxa"/>
            <w:tcBorders>
              <w:top w:val="nil"/>
              <w:left w:val="nil"/>
              <w:bottom w:val="nil"/>
              <w:right w:val="nil"/>
            </w:tcBorders>
            <w:shd w:val="clear" w:color="auto" w:fill="auto"/>
            <w:noWrap/>
            <w:vAlign w:val="bottom"/>
            <w:hideMark/>
          </w:tcPr>
          <w:p w:rsidR="00A33E4A" w:rsidRPr="00A33E4A" w:rsidRDefault="00A33E4A" w:rsidP="00A33E4A">
            <w:pPr>
              <w:jc w:val="right"/>
              <w:rPr>
                <w:rFonts w:ascii="Arial" w:eastAsia="Times New Roman" w:hAnsi="Arial" w:cs="Arial"/>
                <w:sz w:val="20"/>
                <w:szCs w:val="20"/>
                <w:lang w:eastAsia="en-GB"/>
              </w:rPr>
            </w:pPr>
            <w:r w:rsidRPr="00A33E4A">
              <w:rPr>
                <w:rFonts w:ascii="Arial" w:eastAsia="Times New Roman" w:hAnsi="Arial" w:cs="Arial"/>
                <w:sz w:val="20"/>
                <w:szCs w:val="20"/>
                <w:lang w:eastAsia="en-GB"/>
              </w:rPr>
              <w:t>855.5</w:t>
            </w:r>
          </w:p>
        </w:tc>
        <w:tc>
          <w:tcPr>
            <w:tcW w:w="717" w:type="dxa"/>
            <w:tcBorders>
              <w:top w:val="nil"/>
              <w:left w:val="nil"/>
              <w:bottom w:val="nil"/>
              <w:right w:val="nil"/>
            </w:tcBorders>
            <w:shd w:val="clear" w:color="auto" w:fill="auto"/>
            <w:noWrap/>
            <w:vAlign w:val="bottom"/>
            <w:hideMark/>
          </w:tcPr>
          <w:p w:rsidR="00A33E4A" w:rsidRPr="00A33E4A" w:rsidRDefault="00A33E4A" w:rsidP="00A33E4A">
            <w:pPr>
              <w:jc w:val="right"/>
              <w:rPr>
                <w:rFonts w:ascii="Arial" w:eastAsia="Times New Roman" w:hAnsi="Arial" w:cs="Arial"/>
                <w:sz w:val="20"/>
                <w:szCs w:val="20"/>
                <w:lang w:eastAsia="en-GB"/>
              </w:rPr>
            </w:pPr>
            <w:r w:rsidRPr="00A33E4A">
              <w:rPr>
                <w:rFonts w:ascii="Arial" w:eastAsia="Times New Roman" w:hAnsi="Arial" w:cs="Arial"/>
                <w:sz w:val="20"/>
                <w:szCs w:val="20"/>
                <w:lang w:eastAsia="en-GB"/>
              </w:rPr>
              <w:t>862.2</w:t>
            </w:r>
          </w:p>
        </w:tc>
        <w:tc>
          <w:tcPr>
            <w:tcW w:w="717" w:type="dxa"/>
            <w:tcBorders>
              <w:top w:val="nil"/>
              <w:left w:val="nil"/>
              <w:bottom w:val="nil"/>
              <w:right w:val="nil"/>
            </w:tcBorders>
            <w:shd w:val="clear" w:color="auto" w:fill="auto"/>
            <w:noWrap/>
            <w:vAlign w:val="bottom"/>
            <w:hideMark/>
          </w:tcPr>
          <w:p w:rsidR="00A33E4A" w:rsidRPr="00A33E4A" w:rsidRDefault="00A33E4A" w:rsidP="00A33E4A">
            <w:pPr>
              <w:jc w:val="right"/>
              <w:rPr>
                <w:rFonts w:ascii="Arial" w:eastAsia="Times New Roman" w:hAnsi="Arial" w:cs="Arial"/>
                <w:sz w:val="20"/>
                <w:szCs w:val="20"/>
                <w:lang w:eastAsia="en-GB"/>
              </w:rPr>
            </w:pPr>
            <w:r w:rsidRPr="00A33E4A">
              <w:rPr>
                <w:rFonts w:ascii="Arial" w:eastAsia="Times New Roman" w:hAnsi="Arial" w:cs="Arial"/>
                <w:sz w:val="20"/>
                <w:szCs w:val="20"/>
                <w:lang w:eastAsia="en-GB"/>
              </w:rPr>
              <w:t>864.6</w:t>
            </w:r>
          </w:p>
        </w:tc>
        <w:tc>
          <w:tcPr>
            <w:tcW w:w="717" w:type="dxa"/>
            <w:tcBorders>
              <w:top w:val="nil"/>
              <w:left w:val="nil"/>
              <w:bottom w:val="nil"/>
              <w:right w:val="nil"/>
            </w:tcBorders>
            <w:shd w:val="clear" w:color="auto" w:fill="auto"/>
            <w:noWrap/>
            <w:vAlign w:val="bottom"/>
            <w:hideMark/>
          </w:tcPr>
          <w:p w:rsidR="00A33E4A" w:rsidRPr="00A33E4A" w:rsidRDefault="00A33E4A" w:rsidP="00A33E4A">
            <w:pPr>
              <w:jc w:val="right"/>
              <w:rPr>
                <w:rFonts w:ascii="Arial" w:eastAsia="Times New Roman" w:hAnsi="Arial" w:cs="Arial"/>
                <w:sz w:val="20"/>
                <w:szCs w:val="20"/>
                <w:lang w:eastAsia="en-GB"/>
              </w:rPr>
            </w:pPr>
            <w:r w:rsidRPr="00A33E4A">
              <w:rPr>
                <w:rFonts w:ascii="Arial" w:eastAsia="Times New Roman" w:hAnsi="Arial" w:cs="Arial"/>
                <w:sz w:val="20"/>
                <w:szCs w:val="20"/>
                <w:lang w:eastAsia="en-GB"/>
              </w:rPr>
              <w:t>869</w:t>
            </w:r>
          </w:p>
        </w:tc>
        <w:tc>
          <w:tcPr>
            <w:tcW w:w="717" w:type="dxa"/>
            <w:tcBorders>
              <w:top w:val="nil"/>
              <w:left w:val="nil"/>
              <w:bottom w:val="nil"/>
              <w:right w:val="nil"/>
            </w:tcBorders>
            <w:shd w:val="clear" w:color="auto" w:fill="auto"/>
            <w:noWrap/>
            <w:vAlign w:val="bottom"/>
            <w:hideMark/>
          </w:tcPr>
          <w:p w:rsidR="00A33E4A" w:rsidRPr="00A33E4A" w:rsidRDefault="00A33E4A" w:rsidP="00A33E4A">
            <w:pPr>
              <w:jc w:val="right"/>
              <w:rPr>
                <w:rFonts w:ascii="Arial" w:eastAsia="Times New Roman" w:hAnsi="Arial" w:cs="Arial"/>
                <w:sz w:val="20"/>
                <w:szCs w:val="20"/>
                <w:lang w:eastAsia="en-GB"/>
              </w:rPr>
            </w:pPr>
            <w:r w:rsidRPr="00A33E4A">
              <w:rPr>
                <w:rFonts w:ascii="Arial" w:eastAsia="Times New Roman" w:hAnsi="Arial" w:cs="Arial"/>
                <w:sz w:val="20"/>
                <w:szCs w:val="20"/>
                <w:lang w:eastAsia="en-GB"/>
              </w:rPr>
              <w:t>871.4</w:t>
            </w:r>
          </w:p>
        </w:tc>
        <w:tc>
          <w:tcPr>
            <w:tcW w:w="717" w:type="dxa"/>
            <w:tcBorders>
              <w:top w:val="nil"/>
              <w:left w:val="nil"/>
              <w:bottom w:val="nil"/>
              <w:right w:val="nil"/>
            </w:tcBorders>
            <w:shd w:val="clear" w:color="auto" w:fill="auto"/>
            <w:noWrap/>
            <w:vAlign w:val="bottom"/>
            <w:hideMark/>
          </w:tcPr>
          <w:p w:rsidR="00A33E4A" w:rsidRPr="00A33E4A" w:rsidRDefault="00A33E4A" w:rsidP="00A33E4A">
            <w:pPr>
              <w:jc w:val="right"/>
              <w:rPr>
                <w:rFonts w:ascii="Arial" w:eastAsia="Times New Roman" w:hAnsi="Arial" w:cs="Arial"/>
                <w:sz w:val="20"/>
                <w:szCs w:val="20"/>
                <w:lang w:eastAsia="en-GB"/>
              </w:rPr>
            </w:pPr>
            <w:r w:rsidRPr="00A33E4A">
              <w:rPr>
                <w:rFonts w:ascii="Arial" w:eastAsia="Times New Roman" w:hAnsi="Arial" w:cs="Arial"/>
                <w:sz w:val="20"/>
                <w:szCs w:val="20"/>
                <w:lang w:eastAsia="en-GB"/>
              </w:rPr>
              <w:t>879.4</w:t>
            </w:r>
          </w:p>
        </w:tc>
        <w:tc>
          <w:tcPr>
            <w:tcW w:w="717" w:type="dxa"/>
            <w:tcBorders>
              <w:top w:val="nil"/>
              <w:left w:val="nil"/>
              <w:bottom w:val="nil"/>
              <w:right w:val="nil"/>
            </w:tcBorders>
            <w:shd w:val="clear" w:color="auto" w:fill="auto"/>
            <w:noWrap/>
            <w:vAlign w:val="bottom"/>
            <w:hideMark/>
          </w:tcPr>
          <w:p w:rsidR="00A33E4A" w:rsidRPr="00A33E4A" w:rsidRDefault="00A33E4A" w:rsidP="00A33E4A">
            <w:pPr>
              <w:jc w:val="right"/>
              <w:rPr>
                <w:rFonts w:ascii="Arial" w:eastAsia="Times New Roman" w:hAnsi="Arial" w:cs="Arial"/>
                <w:sz w:val="20"/>
                <w:szCs w:val="20"/>
                <w:lang w:eastAsia="en-GB"/>
              </w:rPr>
            </w:pPr>
            <w:r w:rsidRPr="00A33E4A">
              <w:rPr>
                <w:rFonts w:ascii="Arial" w:eastAsia="Times New Roman" w:hAnsi="Arial" w:cs="Arial"/>
                <w:sz w:val="20"/>
                <w:szCs w:val="20"/>
                <w:lang w:eastAsia="en-GB"/>
              </w:rPr>
              <w:t>899.4</w:t>
            </w:r>
          </w:p>
        </w:tc>
        <w:tc>
          <w:tcPr>
            <w:tcW w:w="717" w:type="dxa"/>
            <w:tcBorders>
              <w:top w:val="nil"/>
              <w:left w:val="nil"/>
              <w:bottom w:val="nil"/>
              <w:right w:val="nil"/>
            </w:tcBorders>
            <w:shd w:val="clear" w:color="auto" w:fill="auto"/>
            <w:noWrap/>
            <w:vAlign w:val="bottom"/>
            <w:hideMark/>
          </w:tcPr>
          <w:p w:rsidR="00A33E4A" w:rsidRPr="00A33E4A" w:rsidRDefault="00A33E4A" w:rsidP="00A33E4A">
            <w:pPr>
              <w:jc w:val="right"/>
              <w:rPr>
                <w:rFonts w:ascii="Arial" w:eastAsia="Times New Roman" w:hAnsi="Arial" w:cs="Arial"/>
                <w:sz w:val="20"/>
                <w:szCs w:val="20"/>
                <w:lang w:eastAsia="en-GB"/>
              </w:rPr>
            </w:pPr>
            <w:r w:rsidRPr="00A33E4A">
              <w:rPr>
                <w:rFonts w:ascii="Arial" w:eastAsia="Times New Roman" w:hAnsi="Arial" w:cs="Arial"/>
                <w:sz w:val="20"/>
                <w:szCs w:val="20"/>
                <w:lang w:eastAsia="en-GB"/>
              </w:rPr>
              <w:t>921.2</w:t>
            </w:r>
          </w:p>
        </w:tc>
        <w:tc>
          <w:tcPr>
            <w:tcW w:w="783" w:type="dxa"/>
            <w:tcBorders>
              <w:top w:val="nil"/>
              <w:left w:val="nil"/>
              <w:bottom w:val="nil"/>
              <w:right w:val="nil"/>
            </w:tcBorders>
            <w:shd w:val="clear" w:color="auto" w:fill="auto"/>
            <w:noWrap/>
            <w:vAlign w:val="bottom"/>
            <w:hideMark/>
          </w:tcPr>
          <w:p w:rsidR="00A33E4A" w:rsidRPr="00A33E4A" w:rsidRDefault="00A33E4A" w:rsidP="00A33E4A">
            <w:pPr>
              <w:jc w:val="right"/>
              <w:rPr>
                <w:rFonts w:ascii="Arial" w:eastAsia="Times New Roman" w:hAnsi="Arial" w:cs="Arial"/>
                <w:sz w:val="20"/>
                <w:szCs w:val="20"/>
                <w:lang w:eastAsia="en-GB"/>
              </w:rPr>
            </w:pPr>
            <w:r w:rsidRPr="00A33E4A">
              <w:rPr>
                <w:rFonts w:ascii="Arial" w:eastAsia="Times New Roman" w:hAnsi="Arial" w:cs="Arial"/>
                <w:sz w:val="20"/>
                <w:szCs w:val="20"/>
                <w:lang w:eastAsia="en-GB"/>
              </w:rPr>
              <w:t>935.9</w:t>
            </w:r>
          </w:p>
        </w:tc>
        <w:tc>
          <w:tcPr>
            <w:tcW w:w="783" w:type="dxa"/>
            <w:tcBorders>
              <w:top w:val="nil"/>
              <w:left w:val="nil"/>
              <w:bottom w:val="nil"/>
              <w:right w:val="nil"/>
            </w:tcBorders>
            <w:shd w:val="clear" w:color="auto" w:fill="auto"/>
            <w:noWrap/>
            <w:vAlign w:val="bottom"/>
            <w:hideMark/>
          </w:tcPr>
          <w:p w:rsidR="00A33E4A" w:rsidRPr="00A33E4A" w:rsidRDefault="00A33E4A" w:rsidP="00A33E4A">
            <w:pPr>
              <w:jc w:val="right"/>
              <w:rPr>
                <w:rFonts w:ascii="Arial" w:eastAsia="Times New Roman" w:hAnsi="Arial" w:cs="Arial"/>
                <w:sz w:val="20"/>
                <w:szCs w:val="20"/>
                <w:lang w:eastAsia="en-GB"/>
              </w:rPr>
            </w:pPr>
            <w:r w:rsidRPr="00A33E4A">
              <w:rPr>
                <w:rFonts w:ascii="Arial" w:eastAsia="Times New Roman" w:hAnsi="Arial" w:cs="Arial"/>
                <w:sz w:val="20"/>
                <w:szCs w:val="20"/>
                <w:lang w:eastAsia="en-GB"/>
              </w:rPr>
              <w:t>960.7</w:t>
            </w:r>
          </w:p>
        </w:tc>
        <w:tc>
          <w:tcPr>
            <w:tcW w:w="783" w:type="dxa"/>
            <w:tcBorders>
              <w:top w:val="nil"/>
              <w:left w:val="nil"/>
              <w:bottom w:val="nil"/>
              <w:right w:val="nil"/>
            </w:tcBorders>
            <w:shd w:val="clear" w:color="auto" w:fill="auto"/>
            <w:noWrap/>
            <w:vAlign w:val="bottom"/>
            <w:hideMark/>
          </w:tcPr>
          <w:p w:rsidR="00A33E4A" w:rsidRPr="00A33E4A" w:rsidRDefault="00A33E4A" w:rsidP="00A33E4A">
            <w:pPr>
              <w:jc w:val="right"/>
              <w:rPr>
                <w:rFonts w:ascii="Arial" w:eastAsia="Times New Roman" w:hAnsi="Arial" w:cs="Arial"/>
                <w:sz w:val="20"/>
                <w:szCs w:val="20"/>
                <w:lang w:eastAsia="en-GB"/>
              </w:rPr>
            </w:pPr>
            <w:r w:rsidRPr="00A33E4A">
              <w:rPr>
                <w:rFonts w:ascii="Arial" w:eastAsia="Times New Roman" w:hAnsi="Arial" w:cs="Arial"/>
                <w:sz w:val="20"/>
                <w:szCs w:val="20"/>
                <w:lang w:eastAsia="en-GB"/>
              </w:rPr>
              <w:t>982</w:t>
            </w:r>
          </w:p>
        </w:tc>
      </w:tr>
      <w:tr w:rsidR="00A33E4A" w:rsidRPr="00A33E4A" w:rsidTr="00A33E4A">
        <w:trPr>
          <w:trHeight w:val="231"/>
        </w:trPr>
        <w:tc>
          <w:tcPr>
            <w:tcW w:w="2056" w:type="dxa"/>
            <w:tcBorders>
              <w:top w:val="nil"/>
              <w:left w:val="nil"/>
              <w:bottom w:val="nil"/>
              <w:right w:val="nil"/>
            </w:tcBorders>
            <w:shd w:val="clear" w:color="auto" w:fill="auto"/>
            <w:noWrap/>
            <w:vAlign w:val="bottom"/>
            <w:hideMark/>
          </w:tcPr>
          <w:p w:rsidR="00A33E4A" w:rsidRPr="00A33E4A" w:rsidRDefault="00A33E4A" w:rsidP="00A33E4A">
            <w:pPr>
              <w:jc w:val="right"/>
              <w:rPr>
                <w:rFonts w:ascii="Arial" w:eastAsia="Times New Roman" w:hAnsi="Arial" w:cs="Arial"/>
                <w:sz w:val="20"/>
                <w:szCs w:val="20"/>
                <w:lang w:eastAsia="en-GB"/>
              </w:rPr>
            </w:pPr>
          </w:p>
        </w:tc>
        <w:tc>
          <w:tcPr>
            <w:tcW w:w="1295" w:type="dxa"/>
            <w:tcBorders>
              <w:top w:val="nil"/>
              <w:left w:val="nil"/>
              <w:bottom w:val="nil"/>
              <w:right w:val="nil"/>
            </w:tcBorders>
            <w:shd w:val="clear" w:color="auto" w:fill="auto"/>
            <w:noWrap/>
            <w:vAlign w:val="bottom"/>
            <w:hideMark/>
          </w:tcPr>
          <w:p w:rsidR="00A33E4A" w:rsidRPr="00A33E4A" w:rsidRDefault="00A33E4A" w:rsidP="00A33E4A">
            <w:pPr>
              <w:rPr>
                <w:rFonts w:ascii="Arial" w:eastAsia="Times New Roman" w:hAnsi="Arial" w:cs="Arial"/>
                <w:sz w:val="20"/>
                <w:szCs w:val="20"/>
                <w:lang w:eastAsia="en-GB"/>
              </w:rPr>
            </w:pPr>
            <w:proofErr w:type="spellStart"/>
            <w:r w:rsidRPr="00A33E4A">
              <w:rPr>
                <w:rFonts w:ascii="Arial" w:eastAsia="Times New Roman" w:hAnsi="Arial" w:cs="Arial"/>
                <w:sz w:val="20"/>
                <w:szCs w:val="20"/>
                <w:lang w:eastAsia="en-GB"/>
              </w:rPr>
              <w:t>Relativ</w:t>
            </w:r>
            <w:proofErr w:type="spellEnd"/>
            <w:r w:rsidRPr="00A33E4A">
              <w:rPr>
                <w:rFonts w:ascii="Arial" w:eastAsia="Times New Roman" w:hAnsi="Arial" w:cs="Arial"/>
                <w:sz w:val="20"/>
                <w:szCs w:val="20"/>
                <w:lang w:eastAsia="en-GB"/>
              </w:rPr>
              <w:t xml:space="preserve"> </w:t>
            </w:r>
            <w:proofErr w:type="spellStart"/>
            <w:r w:rsidRPr="00A33E4A">
              <w:rPr>
                <w:rFonts w:ascii="Arial" w:eastAsia="Times New Roman" w:hAnsi="Arial" w:cs="Arial"/>
                <w:sz w:val="20"/>
                <w:szCs w:val="20"/>
                <w:lang w:eastAsia="en-GB"/>
              </w:rPr>
              <w:t>ændring</w:t>
            </w:r>
            <w:proofErr w:type="spellEnd"/>
          </w:p>
        </w:tc>
        <w:tc>
          <w:tcPr>
            <w:tcW w:w="717" w:type="dxa"/>
            <w:tcBorders>
              <w:top w:val="nil"/>
              <w:left w:val="nil"/>
              <w:bottom w:val="nil"/>
              <w:right w:val="nil"/>
            </w:tcBorders>
            <w:shd w:val="clear" w:color="auto" w:fill="auto"/>
            <w:noWrap/>
            <w:vAlign w:val="bottom"/>
            <w:hideMark/>
          </w:tcPr>
          <w:p w:rsidR="00A33E4A" w:rsidRPr="00A33E4A" w:rsidRDefault="00A33E4A" w:rsidP="00A33E4A">
            <w:pPr>
              <w:jc w:val="right"/>
              <w:rPr>
                <w:rFonts w:ascii="Arial" w:eastAsia="Times New Roman" w:hAnsi="Arial" w:cs="Arial"/>
                <w:sz w:val="20"/>
                <w:szCs w:val="20"/>
                <w:lang w:eastAsia="en-GB"/>
              </w:rPr>
            </w:pPr>
            <w:r w:rsidRPr="00A33E4A">
              <w:rPr>
                <w:rFonts w:ascii="Arial" w:eastAsia="Times New Roman" w:hAnsi="Arial" w:cs="Arial"/>
                <w:sz w:val="20"/>
                <w:szCs w:val="20"/>
                <w:lang w:eastAsia="en-GB"/>
              </w:rPr>
              <w:t>0.8%</w:t>
            </w:r>
          </w:p>
        </w:tc>
        <w:tc>
          <w:tcPr>
            <w:tcW w:w="717" w:type="dxa"/>
            <w:tcBorders>
              <w:top w:val="nil"/>
              <w:left w:val="nil"/>
              <w:bottom w:val="nil"/>
              <w:right w:val="nil"/>
            </w:tcBorders>
            <w:shd w:val="clear" w:color="auto" w:fill="auto"/>
            <w:noWrap/>
            <w:vAlign w:val="bottom"/>
            <w:hideMark/>
          </w:tcPr>
          <w:p w:rsidR="00A33E4A" w:rsidRPr="00A33E4A" w:rsidRDefault="00A33E4A" w:rsidP="00A33E4A">
            <w:pPr>
              <w:jc w:val="right"/>
              <w:rPr>
                <w:rFonts w:ascii="Arial" w:eastAsia="Times New Roman" w:hAnsi="Arial" w:cs="Arial"/>
                <w:sz w:val="20"/>
                <w:szCs w:val="20"/>
                <w:lang w:eastAsia="en-GB"/>
              </w:rPr>
            </w:pPr>
            <w:r w:rsidRPr="00A33E4A">
              <w:rPr>
                <w:rFonts w:ascii="Arial" w:eastAsia="Times New Roman" w:hAnsi="Arial" w:cs="Arial"/>
                <w:sz w:val="20"/>
                <w:szCs w:val="20"/>
                <w:lang w:eastAsia="en-GB"/>
              </w:rPr>
              <w:t>0.3%</w:t>
            </w:r>
          </w:p>
        </w:tc>
        <w:tc>
          <w:tcPr>
            <w:tcW w:w="717" w:type="dxa"/>
            <w:tcBorders>
              <w:top w:val="nil"/>
              <w:left w:val="nil"/>
              <w:bottom w:val="nil"/>
              <w:right w:val="nil"/>
            </w:tcBorders>
            <w:shd w:val="clear" w:color="auto" w:fill="auto"/>
            <w:noWrap/>
            <w:vAlign w:val="bottom"/>
            <w:hideMark/>
          </w:tcPr>
          <w:p w:rsidR="00A33E4A" w:rsidRPr="00A33E4A" w:rsidRDefault="00A33E4A" w:rsidP="00A33E4A">
            <w:pPr>
              <w:jc w:val="right"/>
              <w:rPr>
                <w:rFonts w:ascii="Arial" w:eastAsia="Times New Roman" w:hAnsi="Arial" w:cs="Arial"/>
                <w:sz w:val="20"/>
                <w:szCs w:val="20"/>
                <w:lang w:eastAsia="en-GB"/>
              </w:rPr>
            </w:pPr>
            <w:r w:rsidRPr="00A33E4A">
              <w:rPr>
                <w:rFonts w:ascii="Arial" w:eastAsia="Times New Roman" w:hAnsi="Arial" w:cs="Arial"/>
                <w:sz w:val="20"/>
                <w:szCs w:val="20"/>
                <w:lang w:eastAsia="en-GB"/>
              </w:rPr>
              <w:t>0.5%</w:t>
            </w:r>
          </w:p>
        </w:tc>
        <w:tc>
          <w:tcPr>
            <w:tcW w:w="717" w:type="dxa"/>
            <w:tcBorders>
              <w:top w:val="nil"/>
              <w:left w:val="nil"/>
              <w:bottom w:val="nil"/>
              <w:right w:val="nil"/>
            </w:tcBorders>
            <w:shd w:val="clear" w:color="auto" w:fill="auto"/>
            <w:noWrap/>
            <w:vAlign w:val="bottom"/>
            <w:hideMark/>
          </w:tcPr>
          <w:p w:rsidR="00A33E4A" w:rsidRPr="00A33E4A" w:rsidRDefault="00A33E4A" w:rsidP="00A33E4A">
            <w:pPr>
              <w:jc w:val="right"/>
              <w:rPr>
                <w:rFonts w:ascii="Arial" w:eastAsia="Times New Roman" w:hAnsi="Arial" w:cs="Arial"/>
                <w:sz w:val="20"/>
                <w:szCs w:val="20"/>
                <w:lang w:eastAsia="en-GB"/>
              </w:rPr>
            </w:pPr>
            <w:r w:rsidRPr="00A33E4A">
              <w:rPr>
                <w:rFonts w:ascii="Arial" w:eastAsia="Times New Roman" w:hAnsi="Arial" w:cs="Arial"/>
                <w:sz w:val="20"/>
                <w:szCs w:val="20"/>
                <w:lang w:eastAsia="en-GB"/>
              </w:rPr>
              <w:t>0.3%</w:t>
            </w:r>
          </w:p>
        </w:tc>
        <w:tc>
          <w:tcPr>
            <w:tcW w:w="717" w:type="dxa"/>
            <w:tcBorders>
              <w:top w:val="nil"/>
              <w:left w:val="nil"/>
              <w:bottom w:val="nil"/>
              <w:right w:val="nil"/>
            </w:tcBorders>
            <w:shd w:val="clear" w:color="auto" w:fill="auto"/>
            <w:noWrap/>
            <w:vAlign w:val="bottom"/>
            <w:hideMark/>
          </w:tcPr>
          <w:p w:rsidR="00A33E4A" w:rsidRPr="00A33E4A" w:rsidRDefault="00A33E4A" w:rsidP="00A33E4A">
            <w:pPr>
              <w:jc w:val="right"/>
              <w:rPr>
                <w:rFonts w:ascii="Arial" w:eastAsia="Times New Roman" w:hAnsi="Arial" w:cs="Arial"/>
                <w:sz w:val="20"/>
                <w:szCs w:val="20"/>
                <w:lang w:eastAsia="en-GB"/>
              </w:rPr>
            </w:pPr>
            <w:r w:rsidRPr="00A33E4A">
              <w:rPr>
                <w:rFonts w:ascii="Arial" w:eastAsia="Times New Roman" w:hAnsi="Arial" w:cs="Arial"/>
                <w:sz w:val="20"/>
                <w:szCs w:val="20"/>
                <w:lang w:eastAsia="en-GB"/>
              </w:rPr>
              <w:t>0.9%</w:t>
            </w:r>
          </w:p>
        </w:tc>
        <w:tc>
          <w:tcPr>
            <w:tcW w:w="717" w:type="dxa"/>
            <w:tcBorders>
              <w:top w:val="nil"/>
              <w:left w:val="nil"/>
              <w:bottom w:val="nil"/>
              <w:right w:val="nil"/>
            </w:tcBorders>
            <w:shd w:val="clear" w:color="auto" w:fill="auto"/>
            <w:noWrap/>
            <w:vAlign w:val="bottom"/>
            <w:hideMark/>
          </w:tcPr>
          <w:p w:rsidR="00A33E4A" w:rsidRPr="00A33E4A" w:rsidRDefault="00A33E4A" w:rsidP="00A33E4A">
            <w:pPr>
              <w:jc w:val="right"/>
              <w:rPr>
                <w:rFonts w:ascii="Arial" w:eastAsia="Times New Roman" w:hAnsi="Arial" w:cs="Arial"/>
                <w:sz w:val="20"/>
                <w:szCs w:val="20"/>
                <w:lang w:eastAsia="en-GB"/>
              </w:rPr>
            </w:pPr>
            <w:r w:rsidRPr="00A33E4A">
              <w:rPr>
                <w:rFonts w:ascii="Arial" w:eastAsia="Times New Roman" w:hAnsi="Arial" w:cs="Arial"/>
                <w:sz w:val="20"/>
                <w:szCs w:val="20"/>
                <w:lang w:eastAsia="en-GB"/>
              </w:rPr>
              <w:t>2.3%</w:t>
            </w:r>
          </w:p>
        </w:tc>
        <w:tc>
          <w:tcPr>
            <w:tcW w:w="717" w:type="dxa"/>
            <w:tcBorders>
              <w:top w:val="nil"/>
              <w:left w:val="nil"/>
              <w:bottom w:val="nil"/>
              <w:right w:val="nil"/>
            </w:tcBorders>
            <w:shd w:val="clear" w:color="auto" w:fill="auto"/>
            <w:noWrap/>
            <w:vAlign w:val="bottom"/>
            <w:hideMark/>
          </w:tcPr>
          <w:p w:rsidR="00A33E4A" w:rsidRPr="00A33E4A" w:rsidRDefault="00A33E4A" w:rsidP="00A33E4A">
            <w:pPr>
              <w:jc w:val="right"/>
              <w:rPr>
                <w:rFonts w:ascii="Arial" w:eastAsia="Times New Roman" w:hAnsi="Arial" w:cs="Arial"/>
                <w:sz w:val="20"/>
                <w:szCs w:val="20"/>
                <w:lang w:eastAsia="en-GB"/>
              </w:rPr>
            </w:pPr>
            <w:r w:rsidRPr="00A33E4A">
              <w:rPr>
                <w:rFonts w:ascii="Arial" w:eastAsia="Times New Roman" w:hAnsi="Arial" w:cs="Arial"/>
                <w:sz w:val="20"/>
                <w:szCs w:val="20"/>
                <w:lang w:eastAsia="en-GB"/>
              </w:rPr>
              <w:t>2.4%</w:t>
            </w:r>
          </w:p>
        </w:tc>
        <w:tc>
          <w:tcPr>
            <w:tcW w:w="783" w:type="dxa"/>
            <w:tcBorders>
              <w:top w:val="nil"/>
              <w:left w:val="nil"/>
              <w:bottom w:val="nil"/>
              <w:right w:val="nil"/>
            </w:tcBorders>
            <w:shd w:val="clear" w:color="auto" w:fill="auto"/>
            <w:noWrap/>
            <w:vAlign w:val="bottom"/>
            <w:hideMark/>
          </w:tcPr>
          <w:p w:rsidR="00A33E4A" w:rsidRPr="00A33E4A" w:rsidRDefault="00A33E4A" w:rsidP="00A33E4A">
            <w:pPr>
              <w:jc w:val="right"/>
              <w:rPr>
                <w:rFonts w:ascii="Arial" w:eastAsia="Times New Roman" w:hAnsi="Arial" w:cs="Arial"/>
                <w:sz w:val="20"/>
                <w:szCs w:val="20"/>
                <w:lang w:eastAsia="en-GB"/>
              </w:rPr>
            </w:pPr>
            <w:r w:rsidRPr="00A33E4A">
              <w:rPr>
                <w:rFonts w:ascii="Arial" w:eastAsia="Times New Roman" w:hAnsi="Arial" w:cs="Arial"/>
                <w:sz w:val="20"/>
                <w:szCs w:val="20"/>
                <w:lang w:eastAsia="en-GB"/>
              </w:rPr>
              <w:t>1.6%</w:t>
            </w:r>
          </w:p>
        </w:tc>
        <w:tc>
          <w:tcPr>
            <w:tcW w:w="783" w:type="dxa"/>
            <w:tcBorders>
              <w:top w:val="nil"/>
              <w:left w:val="nil"/>
              <w:bottom w:val="nil"/>
              <w:right w:val="nil"/>
            </w:tcBorders>
            <w:shd w:val="clear" w:color="auto" w:fill="auto"/>
            <w:noWrap/>
            <w:vAlign w:val="bottom"/>
            <w:hideMark/>
          </w:tcPr>
          <w:p w:rsidR="00A33E4A" w:rsidRPr="00A33E4A" w:rsidRDefault="00A33E4A" w:rsidP="00A33E4A">
            <w:pPr>
              <w:jc w:val="right"/>
              <w:rPr>
                <w:rFonts w:ascii="Arial" w:eastAsia="Times New Roman" w:hAnsi="Arial" w:cs="Arial"/>
                <w:sz w:val="20"/>
                <w:szCs w:val="20"/>
                <w:lang w:eastAsia="en-GB"/>
              </w:rPr>
            </w:pPr>
            <w:r w:rsidRPr="00A33E4A">
              <w:rPr>
                <w:rFonts w:ascii="Arial" w:eastAsia="Times New Roman" w:hAnsi="Arial" w:cs="Arial"/>
                <w:sz w:val="20"/>
                <w:szCs w:val="20"/>
                <w:lang w:eastAsia="en-GB"/>
              </w:rPr>
              <w:t>2.6%</w:t>
            </w:r>
          </w:p>
        </w:tc>
        <w:tc>
          <w:tcPr>
            <w:tcW w:w="783" w:type="dxa"/>
            <w:tcBorders>
              <w:top w:val="nil"/>
              <w:left w:val="nil"/>
              <w:bottom w:val="nil"/>
              <w:right w:val="nil"/>
            </w:tcBorders>
            <w:shd w:val="clear" w:color="auto" w:fill="auto"/>
            <w:noWrap/>
            <w:vAlign w:val="bottom"/>
            <w:hideMark/>
          </w:tcPr>
          <w:p w:rsidR="00A33E4A" w:rsidRPr="00A33E4A" w:rsidRDefault="00A33E4A" w:rsidP="00A33E4A">
            <w:pPr>
              <w:jc w:val="right"/>
              <w:rPr>
                <w:rFonts w:ascii="Arial" w:eastAsia="Times New Roman" w:hAnsi="Arial" w:cs="Arial"/>
                <w:sz w:val="20"/>
                <w:szCs w:val="20"/>
                <w:lang w:eastAsia="en-GB"/>
              </w:rPr>
            </w:pPr>
            <w:r w:rsidRPr="00A33E4A">
              <w:rPr>
                <w:rFonts w:ascii="Arial" w:eastAsia="Times New Roman" w:hAnsi="Arial" w:cs="Arial"/>
                <w:sz w:val="20"/>
                <w:szCs w:val="20"/>
                <w:lang w:eastAsia="en-GB"/>
              </w:rPr>
              <w:t>2.2%</w:t>
            </w:r>
          </w:p>
        </w:tc>
      </w:tr>
      <w:tr w:rsidR="00A33E4A" w:rsidRPr="00A33E4A" w:rsidTr="00A33E4A">
        <w:trPr>
          <w:trHeight w:val="231"/>
        </w:trPr>
        <w:tc>
          <w:tcPr>
            <w:tcW w:w="2056" w:type="dxa"/>
            <w:tcBorders>
              <w:top w:val="nil"/>
              <w:left w:val="nil"/>
              <w:bottom w:val="nil"/>
              <w:right w:val="nil"/>
            </w:tcBorders>
            <w:shd w:val="clear" w:color="auto" w:fill="auto"/>
            <w:noWrap/>
            <w:vAlign w:val="bottom"/>
            <w:hideMark/>
          </w:tcPr>
          <w:p w:rsidR="00A33E4A" w:rsidRPr="00A33E4A" w:rsidRDefault="00A33E4A" w:rsidP="00A33E4A">
            <w:pPr>
              <w:jc w:val="right"/>
              <w:rPr>
                <w:rFonts w:ascii="Arial" w:eastAsia="Times New Roman" w:hAnsi="Arial" w:cs="Arial"/>
                <w:sz w:val="20"/>
                <w:szCs w:val="20"/>
                <w:lang w:eastAsia="en-GB"/>
              </w:rPr>
            </w:pPr>
          </w:p>
        </w:tc>
        <w:tc>
          <w:tcPr>
            <w:tcW w:w="1295" w:type="dxa"/>
            <w:tcBorders>
              <w:top w:val="nil"/>
              <w:left w:val="nil"/>
              <w:bottom w:val="nil"/>
              <w:right w:val="nil"/>
            </w:tcBorders>
            <w:shd w:val="clear" w:color="auto" w:fill="auto"/>
            <w:noWrap/>
            <w:vAlign w:val="bottom"/>
            <w:hideMark/>
          </w:tcPr>
          <w:p w:rsidR="00A33E4A" w:rsidRPr="00A33E4A" w:rsidRDefault="00A33E4A" w:rsidP="00A33E4A">
            <w:pPr>
              <w:rPr>
                <w:rFonts w:ascii="Arial" w:eastAsia="Times New Roman" w:hAnsi="Arial" w:cs="Arial"/>
                <w:sz w:val="20"/>
                <w:szCs w:val="20"/>
                <w:lang w:eastAsia="en-GB"/>
              </w:rPr>
            </w:pPr>
            <w:proofErr w:type="spellStart"/>
            <w:r w:rsidRPr="00A33E4A">
              <w:rPr>
                <w:rFonts w:ascii="Arial" w:eastAsia="Times New Roman" w:hAnsi="Arial" w:cs="Arial"/>
                <w:sz w:val="20"/>
                <w:szCs w:val="20"/>
                <w:lang w:eastAsia="en-GB"/>
              </w:rPr>
              <w:t>Gennemsnit</w:t>
            </w:r>
            <w:proofErr w:type="spellEnd"/>
          </w:p>
        </w:tc>
        <w:tc>
          <w:tcPr>
            <w:tcW w:w="717" w:type="dxa"/>
            <w:tcBorders>
              <w:top w:val="nil"/>
              <w:left w:val="nil"/>
              <w:bottom w:val="nil"/>
              <w:right w:val="nil"/>
            </w:tcBorders>
            <w:shd w:val="clear" w:color="auto" w:fill="auto"/>
            <w:noWrap/>
            <w:vAlign w:val="bottom"/>
            <w:hideMark/>
          </w:tcPr>
          <w:p w:rsidR="00A33E4A" w:rsidRPr="00A33E4A" w:rsidRDefault="00A33E4A" w:rsidP="00A33E4A">
            <w:pPr>
              <w:jc w:val="right"/>
              <w:rPr>
                <w:rFonts w:ascii="Arial" w:eastAsia="Times New Roman" w:hAnsi="Arial" w:cs="Arial"/>
                <w:sz w:val="20"/>
                <w:szCs w:val="20"/>
                <w:lang w:eastAsia="en-GB"/>
              </w:rPr>
            </w:pPr>
            <w:r w:rsidRPr="00A33E4A">
              <w:rPr>
                <w:rFonts w:ascii="Arial" w:eastAsia="Times New Roman" w:hAnsi="Arial" w:cs="Arial"/>
                <w:sz w:val="20"/>
                <w:szCs w:val="20"/>
                <w:lang w:eastAsia="en-GB"/>
              </w:rPr>
              <w:t>1.4</w:t>
            </w:r>
          </w:p>
        </w:tc>
        <w:tc>
          <w:tcPr>
            <w:tcW w:w="717" w:type="dxa"/>
            <w:tcBorders>
              <w:top w:val="nil"/>
              <w:left w:val="nil"/>
              <w:bottom w:val="nil"/>
              <w:right w:val="nil"/>
            </w:tcBorders>
            <w:shd w:val="clear" w:color="auto" w:fill="auto"/>
            <w:noWrap/>
            <w:vAlign w:val="bottom"/>
            <w:hideMark/>
          </w:tcPr>
          <w:p w:rsidR="00A33E4A" w:rsidRPr="00A33E4A" w:rsidRDefault="00A33E4A" w:rsidP="00A33E4A">
            <w:pPr>
              <w:jc w:val="right"/>
              <w:rPr>
                <w:rFonts w:ascii="Arial" w:eastAsia="Times New Roman" w:hAnsi="Arial" w:cs="Arial"/>
                <w:sz w:val="20"/>
                <w:szCs w:val="20"/>
                <w:lang w:eastAsia="en-GB"/>
              </w:rPr>
            </w:pPr>
            <w:r w:rsidRPr="00A33E4A">
              <w:rPr>
                <w:rFonts w:ascii="Arial" w:eastAsia="Times New Roman" w:hAnsi="Arial" w:cs="Arial"/>
                <w:sz w:val="20"/>
                <w:szCs w:val="20"/>
                <w:lang w:eastAsia="en-GB"/>
              </w:rPr>
              <w:t>1.4</w:t>
            </w:r>
          </w:p>
        </w:tc>
        <w:tc>
          <w:tcPr>
            <w:tcW w:w="717" w:type="dxa"/>
            <w:tcBorders>
              <w:top w:val="nil"/>
              <w:left w:val="nil"/>
              <w:bottom w:val="nil"/>
              <w:right w:val="nil"/>
            </w:tcBorders>
            <w:shd w:val="clear" w:color="auto" w:fill="auto"/>
            <w:noWrap/>
            <w:vAlign w:val="bottom"/>
            <w:hideMark/>
          </w:tcPr>
          <w:p w:rsidR="00A33E4A" w:rsidRPr="00A33E4A" w:rsidRDefault="00A33E4A" w:rsidP="00A33E4A">
            <w:pPr>
              <w:jc w:val="right"/>
              <w:rPr>
                <w:rFonts w:ascii="Arial" w:eastAsia="Times New Roman" w:hAnsi="Arial" w:cs="Arial"/>
                <w:sz w:val="20"/>
                <w:szCs w:val="20"/>
                <w:lang w:eastAsia="en-GB"/>
              </w:rPr>
            </w:pPr>
            <w:r w:rsidRPr="00A33E4A">
              <w:rPr>
                <w:rFonts w:ascii="Arial" w:eastAsia="Times New Roman" w:hAnsi="Arial" w:cs="Arial"/>
                <w:sz w:val="20"/>
                <w:szCs w:val="20"/>
                <w:lang w:eastAsia="en-GB"/>
              </w:rPr>
              <w:t>1.4</w:t>
            </w:r>
          </w:p>
        </w:tc>
        <w:tc>
          <w:tcPr>
            <w:tcW w:w="717" w:type="dxa"/>
            <w:tcBorders>
              <w:top w:val="nil"/>
              <w:left w:val="nil"/>
              <w:bottom w:val="nil"/>
              <w:right w:val="nil"/>
            </w:tcBorders>
            <w:shd w:val="clear" w:color="auto" w:fill="auto"/>
            <w:noWrap/>
            <w:vAlign w:val="bottom"/>
            <w:hideMark/>
          </w:tcPr>
          <w:p w:rsidR="00A33E4A" w:rsidRPr="00A33E4A" w:rsidRDefault="00A33E4A" w:rsidP="00A33E4A">
            <w:pPr>
              <w:jc w:val="right"/>
              <w:rPr>
                <w:rFonts w:ascii="Arial" w:eastAsia="Times New Roman" w:hAnsi="Arial" w:cs="Arial"/>
                <w:sz w:val="20"/>
                <w:szCs w:val="20"/>
                <w:lang w:eastAsia="en-GB"/>
              </w:rPr>
            </w:pPr>
            <w:r w:rsidRPr="00A33E4A">
              <w:rPr>
                <w:rFonts w:ascii="Arial" w:eastAsia="Times New Roman" w:hAnsi="Arial" w:cs="Arial"/>
                <w:sz w:val="20"/>
                <w:szCs w:val="20"/>
                <w:lang w:eastAsia="en-GB"/>
              </w:rPr>
              <w:t>1.4</w:t>
            </w:r>
          </w:p>
        </w:tc>
        <w:tc>
          <w:tcPr>
            <w:tcW w:w="717" w:type="dxa"/>
            <w:tcBorders>
              <w:top w:val="nil"/>
              <w:left w:val="nil"/>
              <w:bottom w:val="nil"/>
              <w:right w:val="nil"/>
            </w:tcBorders>
            <w:shd w:val="clear" w:color="auto" w:fill="auto"/>
            <w:noWrap/>
            <w:vAlign w:val="bottom"/>
            <w:hideMark/>
          </w:tcPr>
          <w:p w:rsidR="00A33E4A" w:rsidRPr="00A33E4A" w:rsidRDefault="00A33E4A" w:rsidP="00A33E4A">
            <w:pPr>
              <w:jc w:val="right"/>
              <w:rPr>
                <w:rFonts w:ascii="Arial" w:eastAsia="Times New Roman" w:hAnsi="Arial" w:cs="Arial"/>
                <w:sz w:val="20"/>
                <w:szCs w:val="20"/>
                <w:lang w:eastAsia="en-GB"/>
              </w:rPr>
            </w:pPr>
            <w:r w:rsidRPr="00A33E4A">
              <w:rPr>
                <w:rFonts w:ascii="Arial" w:eastAsia="Times New Roman" w:hAnsi="Arial" w:cs="Arial"/>
                <w:sz w:val="20"/>
                <w:szCs w:val="20"/>
                <w:lang w:eastAsia="en-GB"/>
              </w:rPr>
              <w:t>1.4</w:t>
            </w:r>
          </w:p>
        </w:tc>
        <w:tc>
          <w:tcPr>
            <w:tcW w:w="717" w:type="dxa"/>
            <w:tcBorders>
              <w:top w:val="nil"/>
              <w:left w:val="nil"/>
              <w:bottom w:val="nil"/>
              <w:right w:val="nil"/>
            </w:tcBorders>
            <w:shd w:val="clear" w:color="auto" w:fill="auto"/>
            <w:noWrap/>
            <w:vAlign w:val="bottom"/>
            <w:hideMark/>
          </w:tcPr>
          <w:p w:rsidR="00A33E4A" w:rsidRPr="00A33E4A" w:rsidRDefault="00A33E4A" w:rsidP="00A33E4A">
            <w:pPr>
              <w:jc w:val="right"/>
              <w:rPr>
                <w:rFonts w:ascii="Arial" w:eastAsia="Times New Roman" w:hAnsi="Arial" w:cs="Arial"/>
                <w:sz w:val="20"/>
                <w:szCs w:val="20"/>
                <w:lang w:eastAsia="en-GB"/>
              </w:rPr>
            </w:pPr>
            <w:r w:rsidRPr="00A33E4A">
              <w:rPr>
                <w:rFonts w:ascii="Arial" w:eastAsia="Times New Roman" w:hAnsi="Arial" w:cs="Arial"/>
                <w:sz w:val="20"/>
                <w:szCs w:val="20"/>
                <w:lang w:eastAsia="en-GB"/>
              </w:rPr>
              <w:t>1.4</w:t>
            </w:r>
          </w:p>
        </w:tc>
        <w:tc>
          <w:tcPr>
            <w:tcW w:w="717" w:type="dxa"/>
            <w:tcBorders>
              <w:top w:val="nil"/>
              <w:left w:val="nil"/>
              <w:bottom w:val="nil"/>
              <w:right w:val="nil"/>
            </w:tcBorders>
            <w:shd w:val="clear" w:color="auto" w:fill="auto"/>
            <w:noWrap/>
            <w:vAlign w:val="bottom"/>
            <w:hideMark/>
          </w:tcPr>
          <w:p w:rsidR="00A33E4A" w:rsidRPr="00A33E4A" w:rsidRDefault="00A33E4A" w:rsidP="00A33E4A">
            <w:pPr>
              <w:jc w:val="right"/>
              <w:rPr>
                <w:rFonts w:ascii="Arial" w:eastAsia="Times New Roman" w:hAnsi="Arial" w:cs="Arial"/>
                <w:sz w:val="20"/>
                <w:szCs w:val="20"/>
                <w:lang w:eastAsia="en-GB"/>
              </w:rPr>
            </w:pPr>
            <w:r w:rsidRPr="00A33E4A">
              <w:rPr>
                <w:rFonts w:ascii="Arial" w:eastAsia="Times New Roman" w:hAnsi="Arial" w:cs="Arial"/>
                <w:sz w:val="20"/>
                <w:szCs w:val="20"/>
                <w:lang w:eastAsia="en-GB"/>
              </w:rPr>
              <w:t>1.4</w:t>
            </w:r>
          </w:p>
        </w:tc>
        <w:tc>
          <w:tcPr>
            <w:tcW w:w="783" w:type="dxa"/>
            <w:tcBorders>
              <w:top w:val="nil"/>
              <w:left w:val="nil"/>
              <w:bottom w:val="nil"/>
              <w:right w:val="nil"/>
            </w:tcBorders>
            <w:shd w:val="clear" w:color="auto" w:fill="auto"/>
            <w:noWrap/>
            <w:vAlign w:val="bottom"/>
            <w:hideMark/>
          </w:tcPr>
          <w:p w:rsidR="00A33E4A" w:rsidRPr="00A33E4A" w:rsidRDefault="00A33E4A" w:rsidP="00A33E4A">
            <w:pPr>
              <w:jc w:val="right"/>
              <w:rPr>
                <w:rFonts w:ascii="Arial" w:eastAsia="Times New Roman" w:hAnsi="Arial" w:cs="Arial"/>
                <w:sz w:val="20"/>
                <w:szCs w:val="20"/>
                <w:lang w:eastAsia="en-GB"/>
              </w:rPr>
            </w:pPr>
            <w:r w:rsidRPr="00A33E4A">
              <w:rPr>
                <w:rFonts w:ascii="Arial" w:eastAsia="Times New Roman" w:hAnsi="Arial" w:cs="Arial"/>
                <w:sz w:val="20"/>
                <w:szCs w:val="20"/>
                <w:lang w:eastAsia="en-GB"/>
              </w:rPr>
              <w:t>1.4</w:t>
            </w:r>
          </w:p>
        </w:tc>
        <w:tc>
          <w:tcPr>
            <w:tcW w:w="783" w:type="dxa"/>
            <w:tcBorders>
              <w:top w:val="nil"/>
              <w:left w:val="nil"/>
              <w:bottom w:val="nil"/>
              <w:right w:val="nil"/>
            </w:tcBorders>
            <w:shd w:val="clear" w:color="auto" w:fill="auto"/>
            <w:noWrap/>
            <w:vAlign w:val="bottom"/>
            <w:hideMark/>
          </w:tcPr>
          <w:p w:rsidR="00A33E4A" w:rsidRPr="00A33E4A" w:rsidRDefault="00A33E4A" w:rsidP="00A33E4A">
            <w:pPr>
              <w:jc w:val="right"/>
              <w:rPr>
                <w:rFonts w:ascii="Arial" w:eastAsia="Times New Roman" w:hAnsi="Arial" w:cs="Arial"/>
                <w:sz w:val="20"/>
                <w:szCs w:val="20"/>
                <w:lang w:eastAsia="en-GB"/>
              </w:rPr>
            </w:pPr>
            <w:r w:rsidRPr="00A33E4A">
              <w:rPr>
                <w:rFonts w:ascii="Arial" w:eastAsia="Times New Roman" w:hAnsi="Arial" w:cs="Arial"/>
                <w:sz w:val="20"/>
                <w:szCs w:val="20"/>
                <w:lang w:eastAsia="en-GB"/>
              </w:rPr>
              <w:t>1.4</w:t>
            </w:r>
          </w:p>
        </w:tc>
        <w:tc>
          <w:tcPr>
            <w:tcW w:w="783" w:type="dxa"/>
            <w:tcBorders>
              <w:top w:val="nil"/>
              <w:left w:val="nil"/>
              <w:bottom w:val="nil"/>
              <w:right w:val="nil"/>
            </w:tcBorders>
            <w:shd w:val="clear" w:color="auto" w:fill="auto"/>
            <w:noWrap/>
            <w:vAlign w:val="bottom"/>
            <w:hideMark/>
          </w:tcPr>
          <w:p w:rsidR="00A33E4A" w:rsidRPr="00A33E4A" w:rsidRDefault="00A33E4A" w:rsidP="00A33E4A">
            <w:pPr>
              <w:jc w:val="right"/>
              <w:rPr>
                <w:rFonts w:ascii="Arial" w:eastAsia="Times New Roman" w:hAnsi="Arial" w:cs="Arial"/>
                <w:sz w:val="20"/>
                <w:szCs w:val="20"/>
                <w:lang w:eastAsia="en-GB"/>
              </w:rPr>
            </w:pPr>
            <w:r w:rsidRPr="00A33E4A">
              <w:rPr>
                <w:rFonts w:ascii="Arial" w:eastAsia="Times New Roman" w:hAnsi="Arial" w:cs="Arial"/>
                <w:sz w:val="20"/>
                <w:szCs w:val="20"/>
                <w:lang w:eastAsia="en-GB"/>
              </w:rPr>
              <w:t>1.4</w:t>
            </w:r>
          </w:p>
        </w:tc>
      </w:tr>
    </w:tbl>
    <w:p w:rsidR="00A33E4A" w:rsidRDefault="00A33E4A" w:rsidP="00B51C0E">
      <w:pPr>
        <w:spacing w:line="360" w:lineRule="auto"/>
        <w:rPr>
          <w:rFonts w:eastAsiaTheme="minorEastAsia"/>
          <w:lang w:val="da-DK"/>
        </w:rPr>
      </w:pPr>
      <w:r>
        <w:rPr>
          <w:rFonts w:eastAsiaTheme="minorEastAsia"/>
          <w:lang w:val="da-DK"/>
        </w:rPr>
        <w:t xml:space="preserve">Opgave 3 </w:t>
      </w:r>
    </w:p>
    <w:tbl>
      <w:tblPr>
        <w:tblpPr w:leftFromText="180" w:rightFromText="180" w:vertAnchor="page" w:horzAnchor="margin" w:tblpXSpec="center" w:tblpY="1941"/>
        <w:tblW w:w="11324" w:type="dxa"/>
        <w:tblLook w:val="04A0" w:firstRow="1" w:lastRow="0" w:firstColumn="1" w:lastColumn="0" w:noHBand="0" w:noVBand="1"/>
      </w:tblPr>
      <w:tblGrid>
        <w:gridCol w:w="2056"/>
        <w:gridCol w:w="828"/>
        <w:gridCol w:w="828"/>
        <w:gridCol w:w="828"/>
        <w:gridCol w:w="811"/>
        <w:gridCol w:w="828"/>
        <w:gridCol w:w="828"/>
        <w:gridCol w:w="828"/>
        <w:gridCol w:w="828"/>
        <w:gridCol w:w="887"/>
        <w:gridCol w:w="887"/>
        <w:gridCol w:w="887"/>
      </w:tblGrid>
      <w:tr w:rsidR="00A33E4A" w:rsidRPr="00A33E4A" w:rsidTr="00A33E4A">
        <w:trPr>
          <w:trHeight w:val="310"/>
        </w:trPr>
        <w:tc>
          <w:tcPr>
            <w:tcW w:w="2056" w:type="dxa"/>
            <w:tcBorders>
              <w:top w:val="single" w:sz="4" w:space="0" w:color="FFFFFF"/>
              <w:left w:val="nil"/>
              <w:bottom w:val="single" w:sz="4" w:space="0" w:color="FFFFFF"/>
              <w:right w:val="single" w:sz="4" w:space="0" w:color="FFFFFF"/>
            </w:tcBorders>
            <w:shd w:val="clear" w:color="D8E4BC" w:fill="D8E4BC"/>
            <w:noWrap/>
            <w:vAlign w:val="bottom"/>
            <w:hideMark/>
          </w:tcPr>
          <w:p w:rsidR="00A33E4A" w:rsidRPr="00A33E4A" w:rsidRDefault="00A33E4A" w:rsidP="00A33E4A">
            <w:pPr>
              <w:rPr>
                <w:rFonts w:ascii="Arial" w:eastAsia="Times New Roman" w:hAnsi="Arial" w:cs="Arial"/>
                <w:color w:val="000000"/>
                <w:sz w:val="20"/>
                <w:szCs w:val="20"/>
                <w:lang w:eastAsia="en-GB"/>
              </w:rPr>
            </w:pPr>
            <w:proofErr w:type="spellStart"/>
            <w:r w:rsidRPr="00A33E4A">
              <w:rPr>
                <w:rFonts w:ascii="Arial" w:eastAsia="Times New Roman" w:hAnsi="Arial" w:cs="Arial"/>
                <w:color w:val="000000"/>
                <w:sz w:val="20"/>
                <w:szCs w:val="20"/>
                <w:lang w:eastAsia="en-GB"/>
              </w:rPr>
              <w:t>Tabel</w:t>
            </w:r>
            <w:proofErr w:type="spellEnd"/>
            <w:r w:rsidRPr="00A33E4A">
              <w:rPr>
                <w:rFonts w:ascii="Arial" w:eastAsia="Times New Roman" w:hAnsi="Arial" w:cs="Arial"/>
                <w:color w:val="000000"/>
                <w:sz w:val="20"/>
                <w:szCs w:val="20"/>
                <w:lang w:eastAsia="en-GB"/>
              </w:rPr>
              <w:t xml:space="preserve"> 3.1</w:t>
            </w:r>
          </w:p>
        </w:tc>
        <w:tc>
          <w:tcPr>
            <w:tcW w:w="828"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A33E4A" w:rsidRPr="00A33E4A" w:rsidRDefault="00A33E4A" w:rsidP="00A33E4A">
            <w:pPr>
              <w:rPr>
                <w:rFonts w:ascii="Arial" w:eastAsia="Times New Roman" w:hAnsi="Arial" w:cs="Arial"/>
                <w:color w:val="000000"/>
                <w:sz w:val="20"/>
                <w:szCs w:val="20"/>
                <w:lang w:eastAsia="en-GB"/>
              </w:rPr>
            </w:pPr>
          </w:p>
        </w:tc>
        <w:tc>
          <w:tcPr>
            <w:tcW w:w="828"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A33E4A" w:rsidRPr="00A33E4A" w:rsidRDefault="00A33E4A" w:rsidP="00A33E4A">
            <w:pPr>
              <w:rPr>
                <w:rFonts w:ascii="Times New Roman" w:eastAsia="Times New Roman" w:hAnsi="Times New Roman" w:cs="Times New Roman"/>
                <w:sz w:val="20"/>
                <w:szCs w:val="20"/>
                <w:lang w:eastAsia="en-GB"/>
              </w:rPr>
            </w:pPr>
          </w:p>
        </w:tc>
        <w:tc>
          <w:tcPr>
            <w:tcW w:w="828"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A33E4A" w:rsidRPr="00A33E4A" w:rsidRDefault="00A33E4A" w:rsidP="00A33E4A">
            <w:pPr>
              <w:rPr>
                <w:rFonts w:ascii="Times New Roman" w:eastAsia="Times New Roman" w:hAnsi="Times New Roman" w:cs="Times New Roman"/>
                <w:sz w:val="20"/>
                <w:szCs w:val="20"/>
                <w:lang w:eastAsia="en-GB"/>
              </w:rPr>
            </w:pPr>
          </w:p>
        </w:tc>
        <w:tc>
          <w:tcPr>
            <w:tcW w:w="811"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A33E4A" w:rsidRPr="00A33E4A" w:rsidRDefault="00A33E4A" w:rsidP="00A33E4A">
            <w:pPr>
              <w:rPr>
                <w:rFonts w:ascii="Times New Roman" w:eastAsia="Times New Roman" w:hAnsi="Times New Roman" w:cs="Times New Roman"/>
                <w:sz w:val="20"/>
                <w:szCs w:val="20"/>
                <w:lang w:eastAsia="en-GB"/>
              </w:rPr>
            </w:pPr>
          </w:p>
        </w:tc>
        <w:tc>
          <w:tcPr>
            <w:tcW w:w="828"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A33E4A" w:rsidRPr="00A33E4A" w:rsidRDefault="00A33E4A" w:rsidP="00A33E4A">
            <w:pPr>
              <w:rPr>
                <w:rFonts w:ascii="Times New Roman" w:eastAsia="Times New Roman" w:hAnsi="Times New Roman" w:cs="Times New Roman"/>
                <w:sz w:val="20"/>
                <w:szCs w:val="20"/>
                <w:lang w:eastAsia="en-GB"/>
              </w:rPr>
            </w:pPr>
          </w:p>
        </w:tc>
        <w:tc>
          <w:tcPr>
            <w:tcW w:w="828"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A33E4A" w:rsidRPr="00A33E4A" w:rsidRDefault="00A33E4A" w:rsidP="00A33E4A">
            <w:pPr>
              <w:rPr>
                <w:rFonts w:ascii="Times New Roman" w:eastAsia="Times New Roman" w:hAnsi="Times New Roman" w:cs="Times New Roman"/>
                <w:sz w:val="20"/>
                <w:szCs w:val="20"/>
                <w:lang w:eastAsia="en-GB"/>
              </w:rPr>
            </w:pPr>
          </w:p>
        </w:tc>
        <w:tc>
          <w:tcPr>
            <w:tcW w:w="828"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A33E4A" w:rsidRPr="00A33E4A" w:rsidRDefault="00A33E4A" w:rsidP="00A33E4A">
            <w:pPr>
              <w:rPr>
                <w:rFonts w:ascii="Times New Roman" w:eastAsia="Times New Roman" w:hAnsi="Times New Roman" w:cs="Times New Roman"/>
                <w:sz w:val="20"/>
                <w:szCs w:val="20"/>
                <w:lang w:eastAsia="en-GB"/>
              </w:rPr>
            </w:pPr>
          </w:p>
        </w:tc>
        <w:tc>
          <w:tcPr>
            <w:tcW w:w="828"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A33E4A" w:rsidRPr="00A33E4A" w:rsidRDefault="00A33E4A" w:rsidP="00A33E4A">
            <w:pPr>
              <w:rPr>
                <w:rFonts w:ascii="Times New Roman" w:eastAsia="Times New Roman" w:hAnsi="Times New Roman" w:cs="Times New Roman"/>
                <w:sz w:val="20"/>
                <w:szCs w:val="20"/>
                <w:lang w:eastAsia="en-GB"/>
              </w:rPr>
            </w:pPr>
          </w:p>
        </w:tc>
        <w:tc>
          <w:tcPr>
            <w:tcW w:w="887"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A33E4A" w:rsidRPr="00A33E4A" w:rsidRDefault="00A33E4A" w:rsidP="00A33E4A">
            <w:pPr>
              <w:rPr>
                <w:rFonts w:ascii="Times New Roman" w:eastAsia="Times New Roman" w:hAnsi="Times New Roman" w:cs="Times New Roman"/>
                <w:sz w:val="20"/>
                <w:szCs w:val="20"/>
                <w:lang w:eastAsia="en-GB"/>
              </w:rPr>
            </w:pPr>
          </w:p>
        </w:tc>
        <w:tc>
          <w:tcPr>
            <w:tcW w:w="887"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A33E4A" w:rsidRPr="00A33E4A" w:rsidRDefault="00A33E4A" w:rsidP="00A33E4A">
            <w:pPr>
              <w:rPr>
                <w:rFonts w:ascii="Times New Roman" w:eastAsia="Times New Roman" w:hAnsi="Times New Roman" w:cs="Times New Roman"/>
                <w:sz w:val="20"/>
                <w:szCs w:val="20"/>
                <w:lang w:eastAsia="en-GB"/>
              </w:rPr>
            </w:pPr>
          </w:p>
        </w:tc>
        <w:tc>
          <w:tcPr>
            <w:tcW w:w="887" w:type="dxa"/>
            <w:tcBorders>
              <w:top w:val="single" w:sz="4" w:space="0" w:color="FFFFFF"/>
              <w:left w:val="single" w:sz="4" w:space="0" w:color="FFFFFF"/>
              <w:bottom w:val="single" w:sz="4" w:space="0" w:color="FFFFFF"/>
              <w:right w:val="nil"/>
            </w:tcBorders>
            <w:shd w:val="clear" w:color="D8E4BC" w:fill="D8E4BC"/>
            <w:noWrap/>
            <w:vAlign w:val="bottom"/>
            <w:hideMark/>
          </w:tcPr>
          <w:p w:rsidR="00A33E4A" w:rsidRPr="00A33E4A" w:rsidRDefault="00A33E4A" w:rsidP="00A33E4A">
            <w:pPr>
              <w:rPr>
                <w:rFonts w:ascii="Times New Roman" w:eastAsia="Times New Roman" w:hAnsi="Times New Roman" w:cs="Times New Roman"/>
                <w:sz w:val="20"/>
                <w:szCs w:val="20"/>
                <w:lang w:eastAsia="en-GB"/>
              </w:rPr>
            </w:pPr>
          </w:p>
        </w:tc>
      </w:tr>
      <w:tr w:rsidR="00A33E4A" w:rsidRPr="00A33E4A" w:rsidTr="00A33E4A">
        <w:trPr>
          <w:trHeight w:val="310"/>
        </w:trPr>
        <w:tc>
          <w:tcPr>
            <w:tcW w:w="2056" w:type="dxa"/>
            <w:tcBorders>
              <w:top w:val="single" w:sz="4" w:space="0" w:color="FFFFFF"/>
              <w:left w:val="nil"/>
              <w:bottom w:val="single" w:sz="4" w:space="0" w:color="FFFFFF"/>
              <w:right w:val="single" w:sz="4" w:space="0" w:color="FFFFFF"/>
            </w:tcBorders>
            <w:shd w:val="clear" w:color="EBF1DE" w:fill="EBF1DE"/>
            <w:noWrap/>
            <w:vAlign w:val="bottom"/>
            <w:hideMark/>
          </w:tcPr>
          <w:p w:rsidR="00A33E4A" w:rsidRPr="00A33E4A" w:rsidRDefault="00A33E4A" w:rsidP="00A33E4A">
            <w:pPr>
              <w:rPr>
                <w:rFonts w:ascii="Arial" w:eastAsia="Times New Roman" w:hAnsi="Arial" w:cs="Arial"/>
                <w:color w:val="000000"/>
                <w:sz w:val="20"/>
                <w:szCs w:val="20"/>
                <w:lang w:eastAsia="en-GB"/>
              </w:rPr>
            </w:pPr>
            <w:r w:rsidRPr="00A33E4A">
              <w:rPr>
                <w:rFonts w:ascii="Arial" w:eastAsia="Times New Roman" w:hAnsi="Arial" w:cs="Arial"/>
                <w:color w:val="000000"/>
                <w:sz w:val="20"/>
                <w:szCs w:val="20"/>
                <w:lang w:eastAsia="en-GB"/>
              </w:rPr>
              <w:t>BNP</w:t>
            </w:r>
          </w:p>
        </w:tc>
        <w:tc>
          <w:tcPr>
            <w:tcW w:w="828" w:type="dxa"/>
            <w:tcBorders>
              <w:top w:val="single" w:sz="4" w:space="0" w:color="FFFFFF"/>
              <w:left w:val="single" w:sz="4" w:space="0" w:color="FFFFFF"/>
              <w:bottom w:val="single" w:sz="4" w:space="0" w:color="FFFFFF"/>
              <w:right w:val="single" w:sz="4" w:space="0" w:color="FFFFFF"/>
            </w:tcBorders>
            <w:shd w:val="clear" w:color="EBF1DE" w:fill="EBF1DE"/>
            <w:noWrap/>
            <w:hideMark/>
          </w:tcPr>
          <w:p w:rsidR="00A33E4A" w:rsidRPr="00A33E4A" w:rsidRDefault="00A33E4A" w:rsidP="00A33E4A">
            <w:pPr>
              <w:jc w:val="right"/>
              <w:rPr>
                <w:rFonts w:ascii="Arial" w:eastAsia="Times New Roman" w:hAnsi="Arial" w:cs="Arial"/>
                <w:b/>
                <w:bCs/>
                <w:color w:val="000000"/>
                <w:sz w:val="20"/>
                <w:szCs w:val="20"/>
                <w:lang w:eastAsia="en-GB"/>
              </w:rPr>
            </w:pPr>
            <w:r w:rsidRPr="00A33E4A">
              <w:rPr>
                <w:rFonts w:ascii="Arial" w:eastAsia="Times New Roman" w:hAnsi="Arial" w:cs="Arial"/>
                <w:b/>
                <w:bCs/>
                <w:color w:val="000000"/>
                <w:sz w:val="20"/>
                <w:szCs w:val="20"/>
                <w:lang w:eastAsia="en-GB"/>
              </w:rPr>
              <w:t>1722.1</w:t>
            </w:r>
          </w:p>
        </w:tc>
        <w:tc>
          <w:tcPr>
            <w:tcW w:w="828" w:type="dxa"/>
            <w:tcBorders>
              <w:top w:val="single" w:sz="4" w:space="0" w:color="FFFFFF"/>
              <w:left w:val="single" w:sz="4" w:space="0" w:color="FFFFFF"/>
              <w:bottom w:val="single" w:sz="4" w:space="0" w:color="FFFFFF"/>
              <w:right w:val="single" w:sz="4" w:space="0" w:color="FFFFFF"/>
            </w:tcBorders>
            <w:shd w:val="clear" w:color="EBF1DE" w:fill="EBF1DE"/>
            <w:noWrap/>
            <w:hideMark/>
          </w:tcPr>
          <w:p w:rsidR="00A33E4A" w:rsidRPr="00A33E4A" w:rsidRDefault="00A33E4A" w:rsidP="00A33E4A">
            <w:pPr>
              <w:jc w:val="right"/>
              <w:rPr>
                <w:rFonts w:ascii="Arial" w:eastAsia="Times New Roman" w:hAnsi="Arial" w:cs="Arial"/>
                <w:b/>
                <w:bCs/>
                <w:color w:val="000000"/>
                <w:sz w:val="20"/>
                <w:szCs w:val="20"/>
                <w:lang w:eastAsia="en-GB"/>
              </w:rPr>
            </w:pPr>
            <w:r w:rsidRPr="00A33E4A">
              <w:rPr>
                <w:rFonts w:ascii="Arial" w:eastAsia="Times New Roman" w:hAnsi="Arial" w:cs="Arial"/>
                <w:b/>
                <w:bCs/>
                <w:color w:val="000000"/>
                <w:sz w:val="20"/>
                <w:szCs w:val="20"/>
                <w:lang w:eastAsia="en-GB"/>
              </w:rPr>
              <w:t>1810.9</w:t>
            </w:r>
          </w:p>
        </w:tc>
        <w:tc>
          <w:tcPr>
            <w:tcW w:w="828" w:type="dxa"/>
            <w:tcBorders>
              <w:top w:val="single" w:sz="4" w:space="0" w:color="FFFFFF"/>
              <w:left w:val="single" w:sz="4" w:space="0" w:color="FFFFFF"/>
              <w:bottom w:val="single" w:sz="4" w:space="0" w:color="FFFFFF"/>
              <w:right w:val="single" w:sz="4" w:space="0" w:color="FFFFFF"/>
            </w:tcBorders>
            <w:shd w:val="clear" w:color="EBF1DE" w:fill="EBF1DE"/>
            <w:noWrap/>
            <w:hideMark/>
          </w:tcPr>
          <w:p w:rsidR="00A33E4A" w:rsidRPr="00A33E4A" w:rsidRDefault="00A33E4A" w:rsidP="00A33E4A">
            <w:pPr>
              <w:jc w:val="right"/>
              <w:rPr>
                <w:rFonts w:ascii="Arial" w:eastAsia="Times New Roman" w:hAnsi="Arial" w:cs="Arial"/>
                <w:b/>
                <w:bCs/>
                <w:color w:val="000000"/>
                <w:sz w:val="20"/>
                <w:szCs w:val="20"/>
                <w:lang w:eastAsia="en-GB"/>
              </w:rPr>
            </w:pPr>
            <w:r w:rsidRPr="00A33E4A">
              <w:rPr>
                <w:rFonts w:ascii="Arial" w:eastAsia="Times New Roman" w:hAnsi="Arial" w:cs="Arial"/>
                <w:b/>
                <w:bCs/>
                <w:color w:val="000000"/>
                <w:sz w:val="20"/>
                <w:szCs w:val="20"/>
                <w:lang w:eastAsia="en-GB"/>
              </w:rPr>
              <w:t>1846.9</w:t>
            </w:r>
          </w:p>
        </w:tc>
        <w:tc>
          <w:tcPr>
            <w:tcW w:w="811" w:type="dxa"/>
            <w:tcBorders>
              <w:top w:val="single" w:sz="4" w:space="0" w:color="FFFFFF"/>
              <w:left w:val="single" w:sz="4" w:space="0" w:color="FFFFFF"/>
              <w:bottom w:val="single" w:sz="4" w:space="0" w:color="FFFFFF"/>
              <w:right w:val="single" w:sz="4" w:space="0" w:color="FFFFFF"/>
            </w:tcBorders>
            <w:shd w:val="clear" w:color="EBF1DE" w:fill="EBF1DE"/>
            <w:noWrap/>
            <w:hideMark/>
          </w:tcPr>
          <w:p w:rsidR="00A33E4A" w:rsidRPr="00A33E4A" w:rsidRDefault="00A33E4A" w:rsidP="00A33E4A">
            <w:pPr>
              <w:jc w:val="right"/>
              <w:rPr>
                <w:rFonts w:ascii="Arial" w:eastAsia="Times New Roman" w:hAnsi="Arial" w:cs="Arial"/>
                <w:b/>
                <w:bCs/>
                <w:color w:val="000000"/>
                <w:sz w:val="20"/>
                <w:szCs w:val="20"/>
                <w:lang w:eastAsia="en-GB"/>
              </w:rPr>
            </w:pPr>
            <w:r w:rsidRPr="00A33E4A">
              <w:rPr>
                <w:rFonts w:ascii="Arial" w:eastAsia="Times New Roman" w:hAnsi="Arial" w:cs="Arial"/>
                <w:b/>
                <w:bCs/>
                <w:color w:val="000000"/>
                <w:sz w:val="20"/>
                <w:szCs w:val="20"/>
                <w:lang w:eastAsia="en-GB"/>
              </w:rPr>
              <w:t>1895</w:t>
            </w:r>
          </w:p>
        </w:tc>
        <w:tc>
          <w:tcPr>
            <w:tcW w:w="828" w:type="dxa"/>
            <w:tcBorders>
              <w:top w:val="single" w:sz="4" w:space="0" w:color="FFFFFF"/>
              <w:left w:val="single" w:sz="4" w:space="0" w:color="FFFFFF"/>
              <w:bottom w:val="single" w:sz="4" w:space="0" w:color="FFFFFF"/>
              <w:right w:val="single" w:sz="4" w:space="0" w:color="FFFFFF"/>
            </w:tcBorders>
            <w:shd w:val="clear" w:color="EBF1DE" w:fill="EBF1DE"/>
            <w:noWrap/>
            <w:hideMark/>
          </w:tcPr>
          <w:p w:rsidR="00A33E4A" w:rsidRPr="00A33E4A" w:rsidRDefault="00A33E4A" w:rsidP="00A33E4A">
            <w:pPr>
              <w:jc w:val="right"/>
              <w:rPr>
                <w:rFonts w:ascii="Arial" w:eastAsia="Times New Roman" w:hAnsi="Arial" w:cs="Arial"/>
                <w:b/>
                <w:bCs/>
                <w:color w:val="000000"/>
                <w:sz w:val="20"/>
                <w:szCs w:val="20"/>
                <w:lang w:eastAsia="en-GB"/>
              </w:rPr>
            </w:pPr>
            <w:r w:rsidRPr="00A33E4A">
              <w:rPr>
                <w:rFonts w:ascii="Arial" w:eastAsia="Times New Roman" w:hAnsi="Arial" w:cs="Arial"/>
                <w:b/>
                <w:bCs/>
                <w:color w:val="000000"/>
                <w:sz w:val="20"/>
                <w:szCs w:val="20"/>
                <w:lang w:eastAsia="en-GB"/>
              </w:rPr>
              <w:t>1929.7</w:t>
            </w:r>
          </w:p>
        </w:tc>
        <w:tc>
          <w:tcPr>
            <w:tcW w:w="828" w:type="dxa"/>
            <w:tcBorders>
              <w:top w:val="single" w:sz="4" w:space="0" w:color="FFFFFF"/>
              <w:left w:val="single" w:sz="4" w:space="0" w:color="FFFFFF"/>
              <w:bottom w:val="single" w:sz="4" w:space="0" w:color="FFFFFF"/>
              <w:right w:val="single" w:sz="4" w:space="0" w:color="FFFFFF"/>
            </w:tcBorders>
            <w:shd w:val="clear" w:color="EBF1DE" w:fill="EBF1DE"/>
            <w:noWrap/>
            <w:hideMark/>
          </w:tcPr>
          <w:p w:rsidR="00A33E4A" w:rsidRPr="00A33E4A" w:rsidRDefault="00A33E4A" w:rsidP="00A33E4A">
            <w:pPr>
              <w:jc w:val="right"/>
              <w:rPr>
                <w:rFonts w:ascii="Arial" w:eastAsia="Times New Roman" w:hAnsi="Arial" w:cs="Arial"/>
                <w:b/>
                <w:bCs/>
                <w:color w:val="000000"/>
                <w:sz w:val="20"/>
                <w:szCs w:val="20"/>
                <w:lang w:eastAsia="en-GB"/>
              </w:rPr>
            </w:pPr>
            <w:r w:rsidRPr="00A33E4A">
              <w:rPr>
                <w:rFonts w:ascii="Arial" w:eastAsia="Times New Roman" w:hAnsi="Arial" w:cs="Arial"/>
                <w:b/>
                <w:bCs/>
                <w:color w:val="000000"/>
                <w:sz w:val="20"/>
                <w:szCs w:val="20"/>
                <w:lang w:eastAsia="en-GB"/>
              </w:rPr>
              <w:t>1981.2</w:t>
            </w:r>
          </w:p>
        </w:tc>
        <w:tc>
          <w:tcPr>
            <w:tcW w:w="828" w:type="dxa"/>
            <w:tcBorders>
              <w:top w:val="single" w:sz="4" w:space="0" w:color="FFFFFF"/>
              <w:left w:val="single" w:sz="4" w:space="0" w:color="FFFFFF"/>
              <w:bottom w:val="single" w:sz="4" w:space="0" w:color="FFFFFF"/>
              <w:right w:val="single" w:sz="4" w:space="0" w:color="FFFFFF"/>
            </w:tcBorders>
            <w:shd w:val="clear" w:color="EBF1DE" w:fill="EBF1DE"/>
            <w:noWrap/>
            <w:hideMark/>
          </w:tcPr>
          <w:p w:rsidR="00A33E4A" w:rsidRPr="00A33E4A" w:rsidRDefault="00A33E4A" w:rsidP="00A33E4A">
            <w:pPr>
              <w:jc w:val="right"/>
              <w:rPr>
                <w:rFonts w:ascii="Arial" w:eastAsia="Times New Roman" w:hAnsi="Arial" w:cs="Arial"/>
                <w:b/>
                <w:bCs/>
                <w:color w:val="000000"/>
                <w:sz w:val="20"/>
                <w:szCs w:val="20"/>
                <w:lang w:eastAsia="en-GB"/>
              </w:rPr>
            </w:pPr>
            <w:r w:rsidRPr="00A33E4A">
              <w:rPr>
                <w:rFonts w:ascii="Arial" w:eastAsia="Times New Roman" w:hAnsi="Arial" w:cs="Arial"/>
                <w:b/>
                <w:bCs/>
                <w:color w:val="000000"/>
                <w:sz w:val="20"/>
                <w:szCs w:val="20"/>
                <w:lang w:eastAsia="en-GB"/>
              </w:rPr>
              <w:t>2036.4</w:t>
            </w:r>
          </w:p>
        </w:tc>
        <w:tc>
          <w:tcPr>
            <w:tcW w:w="828" w:type="dxa"/>
            <w:tcBorders>
              <w:top w:val="single" w:sz="4" w:space="0" w:color="FFFFFF"/>
              <w:left w:val="single" w:sz="4" w:space="0" w:color="FFFFFF"/>
              <w:bottom w:val="single" w:sz="4" w:space="0" w:color="FFFFFF"/>
              <w:right w:val="single" w:sz="4" w:space="0" w:color="FFFFFF"/>
            </w:tcBorders>
            <w:shd w:val="clear" w:color="EBF1DE" w:fill="EBF1DE"/>
            <w:noWrap/>
            <w:hideMark/>
          </w:tcPr>
          <w:p w:rsidR="00A33E4A" w:rsidRPr="00A33E4A" w:rsidRDefault="00A33E4A" w:rsidP="00A33E4A">
            <w:pPr>
              <w:jc w:val="right"/>
              <w:rPr>
                <w:rFonts w:ascii="Arial" w:eastAsia="Times New Roman" w:hAnsi="Arial" w:cs="Arial"/>
                <w:b/>
                <w:bCs/>
                <w:color w:val="000000"/>
                <w:sz w:val="20"/>
                <w:szCs w:val="20"/>
                <w:lang w:eastAsia="en-GB"/>
              </w:rPr>
            </w:pPr>
            <w:r w:rsidRPr="00A33E4A">
              <w:rPr>
                <w:rFonts w:ascii="Arial" w:eastAsia="Times New Roman" w:hAnsi="Arial" w:cs="Arial"/>
                <w:b/>
                <w:bCs/>
                <w:color w:val="000000"/>
                <w:sz w:val="20"/>
                <w:szCs w:val="20"/>
                <w:lang w:eastAsia="en-GB"/>
              </w:rPr>
              <w:t>2107.8</w:t>
            </w:r>
          </w:p>
        </w:tc>
        <w:tc>
          <w:tcPr>
            <w:tcW w:w="887" w:type="dxa"/>
            <w:tcBorders>
              <w:top w:val="single" w:sz="4" w:space="0" w:color="FFFFFF"/>
              <w:left w:val="single" w:sz="4" w:space="0" w:color="FFFFFF"/>
              <w:bottom w:val="single" w:sz="4" w:space="0" w:color="FFFFFF"/>
              <w:right w:val="single" w:sz="4" w:space="0" w:color="FFFFFF"/>
            </w:tcBorders>
            <w:shd w:val="clear" w:color="EBF1DE" w:fill="EBF1DE"/>
            <w:noWrap/>
            <w:hideMark/>
          </w:tcPr>
          <w:p w:rsidR="00A33E4A" w:rsidRPr="00A33E4A" w:rsidRDefault="00A33E4A" w:rsidP="00A33E4A">
            <w:pPr>
              <w:jc w:val="right"/>
              <w:rPr>
                <w:rFonts w:ascii="Arial" w:eastAsia="Times New Roman" w:hAnsi="Arial" w:cs="Arial"/>
                <w:b/>
                <w:bCs/>
                <w:color w:val="000000"/>
                <w:sz w:val="20"/>
                <w:szCs w:val="20"/>
                <w:lang w:eastAsia="en-GB"/>
              </w:rPr>
            </w:pPr>
            <w:r w:rsidRPr="00A33E4A">
              <w:rPr>
                <w:rFonts w:ascii="Arial" w:eastAsia="Times New Roman" w:hAnsi="Arial" w:cs="Arial"/>
                <w:b/>
                <w:bCs/>
                <w:color w:val="000000"/>
                <w:sz w:val="20"/>
                <w:szCs w:val="20"/>
                <w:lang w:eastAsia="en-GB"/>
              </w:rPr>
              <w:t>2175.1</w:t>
            </w:r>
          </w:p>
        </w:tc>
        <w:tc>
          <w:tcPr>
            <w:tcW w:w="887" w:type="dxa"/>
            <w:tcBorders>
              <w:top w:val="single" w:sz="4" w:space="0" w:color="FFFFFF"/>
              <w:left w:val="single" w:sz="4" w:space="0" w:color="FFFFFF"/>
              <w:bottom w:val="single" w:sz="4" w:space="0" w:color="FFFFFF"/>
              <w:right w:val="single" w:sz="4" w:space="0" w:color="FFFFFF"/>
            </w:tcBorders>
            <w:shd w:val="clear" w:color="EBF1DE" w:fill="EBF1DE"/>
            <w:noWrap/>
            <w:hideMark/>
          </w:tcPr>
          <w:p w:rsidR="00A33E4A" w:rsidRPr="00A33E4A" w:rsidRDefault="00A33E4A" w:rsidP="00A33E4A">
            <w:pPr>
              <w:jc w:val="right"/>
              <w:rPr>
                <w:rFonts w:ascii="Arial" w:eastAsia="Times New Roman" w:hAnsi="Arial" w:cs="Arial"/>
                <w:b/>
                <w:bCs/>
                <w:color w:val="000000"/>
                <w:sz w:val="20"/>
                <w:szCs w:val="20"/>
                <w:lang w:eastAsia="en-GB"/>
              </w:rPr>
            </w:pPr>
            <w:r w:rsidRPr="00A33E4A">
              <w:rPr>
                <w:rFonts w:ascii="Arial" w:eastAsia="Times New Roman" w:hAnsi="Arial" w:cs="Arial"/>
                <w:b/>
                <w:bCs/>
                <w:color w:val="000000"/>
                <w:sz w:val="20"/>
                <w:szCs w:val="20"/>
                <w:lang w:eastAsia="en-GB"/>
              </w:rPr>
              <w:t>2246</w:t>
            </w:r>
          </w:p>
        </w:tc>
        <w:tc>
          <w:tcPr>
            <w:tcW w:w="887" w:type="dxa"/>
            <w:tcBorders>
              <w:top w:val="single" w:sz="4" w:space="0" w:color="FFFFFF"/>
              <w:left w:val="single" w:sz="4" w:space="0" w:color="FFFFFF"/>
              <w:bottom w:val="single" w:sz="4" w:space="0" w:color="FFFFFF"/>
              <w:right w:val="nil"/>
            </w:tcBorders>
            <w:shd w:val="clear" w:color="EBF1DE" w:fill="EBF1DE"/>
            <w:noWrap/>
            <w:hideMark/>
          </w:tcPr>
          <w:p w:rsidR="00A33E4A" w:rsidRPr="00A33E4A" w:rsidRDefault="00A33E4A" w:rsidP="00A33E4A">
            <w:pPr>
              <w:jc w:val="right"/>
              <w:rPr>
                <w:rFonts w:ascii="Arial" w:eastAsia="Times New Roman" w:hAnsi="Arial" w:cs="Arial"/>
                <w:b/>
                <w:bCs/>
                <w:color w:val="000000"/>
                <w:sz w:val="20"/>
                <w:szCs w:val="20"/>
                <w:lang w:eastAsia="en-GB"/>
              </w:rPr>
            </w:pPr>
            <w:r w:rsidRPr="00A33E4A">
              <w:rPr>
                <w:rFonts w:ascii="Arial" w:eastAsia="Times New Roman" w:hAnsi="Arial" w:cs="Arial"/>
                <w:b/>
                <w:bCs/>
                <w:color w:val="000000"/>
                <w:sz w:val="20"/>
                <w:szCs w:val="20"/>
                <w:lang w:eastAsia="en-GB"/>
              </w:rPr>
              <w:t>2321.5</w:t>
            </w:r>
          </w:p>
        </w:tc>
      </w:tr>
      <w:tr w:rsidR="00A33E4A" w:rsidRPr="00A33E4A" w:rsidTr="00A33E4A">
        <w:trPr>
          <w:trHeight w:val="310"/>
        </w:trPr>
        <w:tc>
          <w:tcPr>
            <w:tcW w:w="2056" w:type="dxa"/>
            <w:tcBorders>
              <w:top w:val="single" w:sz="4" w:space="0" w:color="FFFFFF"/>
              <w:left w:val="nil"/>
              <w:bottom w:val="single" w:sz="4" w:space="0" w:color="FFFFFF"/>
              <w:right w:val="single" w:sz="4" w:space="0" w:color="FFFFFF"/>
            </w:tcBorders>
            <w:shd w:val="clear" w:color="D8E4BC" w:fill="D8E4BC"/>
            <w:noWrap/>
            <w:vAlign w:val="bottom"/>
            <w:hideMark/>
          </w:tcPr>
          <w:p w:rsidR="00A33E4A" w:rsidRPr="00A33E4A" w:rsidRDefault="00A33E4A" w:rsidP="00A33E4A">
            <w:pPr>
              <w:rPr>
                <w:rFonts w:ascii="Arial" w:eastAsia="Times New Roman" w:hAnsi="Arial" w:cs="Arial"/>
                <w:color w:val="000000"/>
                <w:sz w:val="20"/>
                <w:szCs w:val="20"/>
                <w:lang w:eastAsia="en-GB"/>
              </w:rPr>
            </w:pPr>
            <w:proofErr w:type="spellStart"/>
            <w:r w:rsidRPr="00A33E4A">
              <w:rPr>
                <w:rFonts w:ascii="Arial" w:eastAsia="Times New Roman" w:hAnsi="Arial" w:cs="Arial"/>
                <w:color w:val="000000"/>
                <w:sz w:val="20"/>
                <w:szCs w:val="20"/>
                <w:lang w:eastAsia="en-GB"/>
              </w:rPr>
              <w:t>Husholdning+NPISH</w:t>
            </w:r>
            <w:proofErr w:type="spellEnd"/>
          </w:p>
        </w:tc>
        <w:tc>
          <w:tcPr>
            <w:tcW w:w="828"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A33E4A" w:rsidRPr="00A33E4A" w:rsidRDefault="00A33E4A" w:rsidP="00A33E4A">
            <w:pPr>
              <w:jc w:val="right"/>
              <w:rPr>
                <w:rFonts w:ascii="Arial" w:eastAsia="Times New Roman" w:hAnsi="Arial" w:cs="Arial"/>
                <w:color w:val="000000"/>
                <w:sz w:val="20"/>
                <w:szCs w:val="20"/>
                <w:lang w:eastAsia="en-GB"/>
              </w:rPr>
            </w:pPr>
            <w:r w:rsidRPr="00A33E4A">
              <w:rPr>
                <w:rFonts w:ascii="Arial" w:eastAsia="Times New Roman" w:hAnsi="Arial" w:cs="Arial"/>
                <w:color w:val="000000"/>
                <w:sz w:val="20"/>
                <w:szCs w:val="20"/>
                <w:lang w:eastAsia="en-GB"/>
              </w:rPr>
              <w:t>834.9</w:t>
            </w:r>
          </w:p>
        </w:tc>
        <w:tc>
          <w:tcPr>
            <w:tcW w:w="828"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A33E4A" w:rsidRPr="00A33E4A" w:rsidRDefault="00A33E4A" w:rsidP="00A33E4A">
            <w:pPr>
              <w:jc w:val="right"/>
              <w:rPr>
                <w:rFonts w:ascii="Arial" w:eastAsia="Times New Roman" w:hAnsi="Arial" w:cs="Arial"/>
                <w:color w:val="000000"/>
                <w:sz w:val="20"/>
                <w:szCs w:val="20"/>
                <w:lang w:eastAsia="en-GB"/>
              </w:rPr>
            </w:pPr>
            <w:r w:rsidRPr="00A33E4A">
              <w:rPr>
                <w:rFonts w:ascii="Arial" w:eastAsia="Times New Roman" w:hAnsi="Arial" w:cs="Arial"/>
                <w:color w:val="000000"/>
                <w:sz w:val="20"/>
                <w:szCs w:val="20"/>
                <w:lang w:eastAsia="en-GB"/>
              </w:rPr>
              <w:t>862.2</w:t>
            </w:r>
          </w:p>
        </w:tc>
        <w:tc>
          <w:tcPr>
            <w:tcW w:w="828"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A33E4A" w:rsidRPr="00A33E4A" w:rsidRDefault="00A33E4A" w:rsidP="00A33E4A">
            <w:pPr>
              <w:jc w:val="right"/>
              <w:rPr>
                <w:rFonts w:ascii="Arial" w:eastAsia="Times New Roman" w:hAnsi="Arial" w:cs="Arial"/>
                <w:color w:val="000000"/>
                <w:sz w:val="20"/>
                <w:szCs w:val="20"/>
                <w:lang w:eastAsia="en-GB"/>
              </w:rPr>
            </w:pPr>
            <w:r w:rsidRPr="00A33E4A">
              <w:rPr>
                <w:rFonts w:ascii="Arial" w:eastAsia="Times New Roman" w:hAnsi="Arial" w:cs="Arial"/>
                <w:color w:val="000000"/>
                <w:sz w:val="20"/>
                <w:szCs w:val="20"/>
                <w:lang w:eastAsia="en-GB"/>
              </w:rPr>
              <w:t>884.9</w:t>
            </w:r>
          </w:p>
        </w:tc>
        <w:tc>
          <w:tcPr>
            <w:tcW w:w="811"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A33E4A" w:rsidRPr="00A33E4A" w:rsidRDefault="00A33E4A" w:rsidP="00A33E4A">
            <w:pPr>
              <w:jc w:val="right"/>
              <w:rPr>
                <w:rFonts w:ascii="Arial" w:eastAsia="Times New Roman" w:hAnsi="Arial" w:cs="Arial"/>
                <w:color w:val="000000"/>
                <w:sz w:val="20"/>
                <w:szCs w:val="20"/>
                <w:lang w:eastAsia="en-GB"/>
              </w:rPr>
            </w:pPr>
            <w:r w:rsidRPr="00A33E4A">
              <w:rPr>
                <w:rFonts w:ascii="Arial" w:eastAsia="Times New Roman" w:hAnsi="Arial" w:cs="Arial"/>
                <w:color w:val="000000"/>
                <w:sz w:val="20"/>
                <w:szCs w:val="20"/>
                <w:lang w:eastAsia="en-GB"/>
              </w:rPr>
              <w:t>910.4</w:t>
            </w:r>
          </w:p>
        </w:tc>
        <w:tc>
          <w:tcPr>
            <w:tcW w:w="828"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A33E4A" w:rsidRPr="00A33E4A" w:rsidRDefault="00A33E4A" w:rsidP="00A33E4A">
            <w:pPr>
              <w:jc w:val="right"/>
              <w:rPr>
                <w:rFonts w:ascii="Arial" w:eastAsia="Times New Roman" w:hAnsi="Arial" w:cs="Arial"/>
                <w:color w:val="000000"/>
                <w:sz w:val="20"/>
                <w:szCs w:val="20"/>
                <w:lang w:eastAsia="en-GB"/>
              </w:rPr>
            </w:pPr>
            <w:r w:rsidRPr="00A33E4A">
              <w:rPr>
                <w:rFonts w:ascii="Arial" w:eastAsia="Times New Roman" w:hAnsi="Arial" w:cs="Arial"/>
                <w:color w:val="000000"/>
                <w:sz w:val="20"/>
                <w:szCs w:val="20"/>
                <w:lang w:eastAsia="en-GB"/>
              </w:rPr>
              <w:t>920.4</w:t>
            </w:r>
          </w:p>
        </w:tc>
        <w:tc>
          <w:tcPr>
            <w:tcW w:w="828"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A33E4A" w:rsidRPr="00A33E4A" w:rsidRDefault="00A33E4A" w:rsidP="00A33E4A">
            <w:pPr>
              <w:jc w:val="right"/>
              <w:rPr>
                <w:rFonts w:ascii="Arial" w:eastAsia="Times New Roman" w:hAnsi="Arial" w:cs="Arial"/>
                <w:color w:val="000000"/>
                <w:sz w:val="20"/>
                <w:szCs w:val="20"/>
                <w:lang w:eastAsia="en-GB"/>
              </w:rPr>
            </w:pPr>
            <w:r w:rsidRPr="00A33E4A">
              <w:rPr>
                <w:rFonts w:ascii="Arial" w:eastAsia="Times New Roman" w:hAnsi="Arial" w:cs="Arial"/>
                <w:color w:val="000000"/>
                <w:sz w:val="20"/>
                <w:szCs w:val="20"/>
                <w:lang w:eastAsia="en-GB"/>
              </w:rPr>
              <w:t>934.3</w:t>
            </w:r>
          </w:p>
        </w:tc>
        <w:tc>
          <w:tcPr>
            <w:tcW w:w="828"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A33E4A" w:rsidRPr="00A33E4A" w:rsidRDefault="00A33E4A" w:rsidP="00A33E4A">
            <w:pPr>
              <w:jc w:val="right"/>
              <w:rPr>
                <w:rFonts w:ascii="Arial" w:eastAsia="Times New Roman" w:hAnsi="Arial" w:cs="Arial"/>
                <w:color w:val="000000"/>
                <w:sz w:val="20"/>
                <w:szCs w:val="20"/>
                <w:lang w:eastAsia="en-GB"/>
              </w:rPr>
            </w:pPr>
            <w:r w:rsidRPr="00A33E4A">
              <w:rPr>
                <w:rFonts w:ascii="Arial" w:eastAsia="Times New Roman" w:hAnsi="Arial" w:cs="Arial"/>
                <w:color w:val="000000"/>
                <w:sz w:val="20"/>
                <w:szCs w:val="20"/>
                <w:lang w:eastAsia="en-GB"/>
              </w:rPr>
              <w:t>959.4</w:t>
            </w:r>
          </w:p>
        </w:tc>
        <w:tc>
          <w:tcPr>
            <w:tcW w:w="828"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A33E4A" w:rsidRPr="00A33E4A" w:rsidRDefault="00A33E4A" w:rsidP="00A33E4A">
            <w:pPr>
              <w:jc w:val="right"/>
              <w:rPr>
                <w:rFonts w:ascii="Arial" w:eastAsia="Times New Roman" w:hAnsi="Arial" w:cs="Arial"/>
                <w:color w:val="000000"/>
                <w:sz w:val="20"/>
                <w:szCs w:val="20"/>
                <w:lang w:eastAsia="en-GB"/>
              </w:rPr>
            </w:pPr>
            <w:r w:rsidRPr="00A33E4A">
              <w:rPr>
                <w:rFonts w:ascii="Arial" w:eastAsia="Times New Roman" w:hAnsi="Arial" w:cs="Arial"/>
                <w:color w:val="000000"/>
                <w:sz w:val="20"/>
                <w:szCs w:val="20"/>
                <w:lang w:eastAsia="en-GB"/>
              </w:rPr>
              <w:t>983.8</w:t>
            </w:r>
          </w:p>
        </w:tc>
        <w:tc>
          <w:tcPr>
            <w:tcW w:w="887"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A33E4A" w:rsidRPr="00A33E4A" w:rsidRDefault="00A33E4A" w:rsidP="00A33E4A">
            <w:pPr>
              <w:jc w:val="right"/>
              <w:rPr>
                <w:rFonts w:ascii="Arial" w:eastAsia="Times New Roman" w:hAnsi="Arial" w:cs="Arial"/>
                <w:color w:val="000000"/>
                <w:sz w:val="20"/>
                <w:szCs w:val="20"/>
                <w:lang w:eastAsia="en-GB"/>
              </w:rPr>
            </w:pPr>
            <w:r w:rsidRPr="00A33E4A">
              <w:rPr>
                <w:rFonts w:ascii="Arial" w:eastAsia="Times New Roman" w:hAnsi="Arial" w:cs="Arial"/>
                <w:color w:val="000000"/>
                <w:sz w:val="20"/>
                <w:szCs w:val="20"/>
                <w:lang w:eastAsia="en-GB"/>
              </w:rPr>
              <w:t>1012.1</w:t>
            </w:r>
          </w:p>
        </w:tc>
        <w:tc>
          <w:tcPr>
            <w:tcW w:w="887"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A33E4A" w:rsidRPr="00A33E4A" w:rsidRDefault="00A33E4A" w:rsidP="00A33E4A">
            <w:pPr>
              <w:jc w:val="right"/>
              <w:rPr>
                <w:rFonts w:ascii="Arial" w:eastAsia="Times New Roman" w:hAnsi="Arial" w:cs="Arial"/>
                <w:color w:val="000000"/>
                <w:sz w:val="20"/>
                <w:szCs w:val="20"/>
                <w:lang w:eastAsia="en-GB"/>
              </w:rPr>
            </w:pPr>
            <w:r w:rsidRPr="00A33E4A">
              <w:rPr>
                <w:rFonts w:ascii="Arial" w:eastAsia="Times New Roman" w:hAnsi="Arial" w:cs="Arial"/>
                <w:color w:val="000000"/>
                <w:sz w:val="20"/>
                <w:szCs w:val="20"/>
                <w:lang w:eastAsia="en-GB"/>
              </w:rPr>
              <w:t>1047.7</w:t>
            </w:r>
          </w:p>
        </w:tc>
        <w:tc>
          <w:tcPr>
            <w:tcW w:w="887" w:type="dxa"/>
            <w:tcBorders>
              <w:top w:val="single" w:sz="4" w:space="0" w:color="FFFFFF"/>
              <w:left w:val="single" w:sz="4" w:space="0" w:color="FFFFFF"/>
              <w:bottom w:val="single" w:sz="4" w:space="0" w:color="FFFFFF"/>
              <w:right w:val="nil"/>
            </w:tcBorders>
            <w:shd w:val="clear" w:color="D8E4BC" w:fill="D8E4BC"/>
            <w:noWrap/>
            <w:vAlign w:val="bottom"/>
            <w:hideMark/>
          </w:tcPr>
          <w:p w:rsidR="00A33E4A" w:rsidRPr="00A33E4A" w:rsidRDefault="00A33E4A" w:rsidP="00A33E4A">
            <w:pPr>
              <w:jc w:val="right"/>
              <w:rPr>
                <w:rFonts w:ascii="Arial" w:eastAsia="Times New Roman" w:hAnsi="Arial" w:cs="Arial"/>
                <w:color w:val="000000"/>
                <w:sz w:val="20"/>
                <w:szCs w:val="20"/>
                <w:lang w:eastAsia="en-GB"/>
              </w:rPr>
            </w:pPr>
            <w:r w:rsidRPr="00A33E4A">
              <w:rPr>
                <w:rFonts w:ascii="Arial" w:eastAsia="Times New Roman" w:hAnsi="Arial" w:cs="Arial"/>
                <w:color w:val="000000"/>
                <w:sz w:val="20"/>
                <w:szCs w:val="20"/>
                <w:lang w:eastAsia="en-GB"/>
              </w:rPr>
              <w:t>1080</w:t>
            </w:r>
          </w:p>
        </w:tc>
      </w:tr>
      <w:tr w:rsidR="00A33E4A" w:rsidRPr="00A33E4A" w:rsidTr="00A33E4A">
        <w:trPr>
          <w:trHeight w:val="310"/>
        </w:trPr>
        <w:tc>
          <w:tcPr>
            <w:tcW w:w="2056" w:type="dxa"/>
            <w:tcBorders>
              <w:top w:val="single" w:sz="4" w:space="0" w:color="FFFFFF"/>
              <w:left w:val="nil"/>
              <w:bottom w:val="single" w:sz="4" w:space="0" w:color="FFFFFF"/>
              <w:right w:val="single" w:sz="4" w:space="0" w:color="FFFFFF"/>
            </w:tcBorders>
            <w:shd w:val="clear" w:color="EBF1DE" w:fill="EBF1DE"/>
            <w:noWrap/>
            <w:vAlign w:val="bottom"/>
            <w:hideMark/>
          </w:tcPr>
          <w:p w:rsidR="00A33E4A" w:rsidRPr="00A33E4A" w:rsidRDefault="00A33E4A" w:rsidP="00A33E4A">
            <w:pPr>
              <w:rPr>
                <w:rFonts w:ascii="Arial" w:eastAsia="Times New Roman" w:hAnsi="Arial" w:cs="Arial"/>
                <w:color w:val="000000"/>
                <w:sz w:val="20"/>
                <w:szCs w:val="20"/>
                <w:lang w:eastAsia="en-GB"/>
              </w:rPr>
            </w:pPr>
            <w:proofErr w:type="spellStart"/>
            <w:r w:rsidRPr="00A33E4A">
              <w:rPr>
                <w:rFonts w:ascii="Arial" w:eastAsia="Times New Roman" w:hAnsi="Arial" w:cs="Arial"/>
                <w:color w:val="000000"/>
                <w:sz w:val="20"/>
                <w:szCs w:val="20"/>
                <w:lang w:eastAsia="en-GB"/>
              </w:rPr>
              <w:t>Andel</w:t>
            </w:r>
            <w:proofErr w:type="spellEnd"/>
          </w:p>
        </w:tc>
        <w:tc>
          <w:tcPr>
            <w:tcW w:w="828"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A33E4A" w:rsidRPr="00A33E4A" w:rsidRDefault="00A33E4A" w:rsidP="00A33E4A">
            <w:pPr>
              <w:jc w:val="right"/>
              <w:rPr>
                <w:rFonts w:ascii="Arial" w:eastAsia="Times New Roman" w:hAnsi="Arial" w:cs="Arial"/>
                <w:color w:val="000000"/>
                <w:sz w:val="20"/>
                <w:szCs w:val="20"/>
                <w:lang w:eastAsia="en-GB"/>
              </w:rPr>
            </w:pPr>
            <w:r w:rsidRPr="00A33E4A">
              <w:rPr>
                <w:rFonts w:ascii="Arial" w:eastAsia="Times New Roman" w:hAnsi="Arial" w:cs="Arial"/>
                <w:color w:val="000000"/>
                <w:sz w:val="20"/>
                <w:szCs w:val="20"/>
                <w:lang w:eastAsia="en-GB"/>
              </w:rPr>
              <w:t>48.5%</w:t>
            </w:r>
          </w:p>
        </w:tc>
        <w:tc>
          <w:tcPr>
            <w:tcW w:w="828"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A33E4A" w:rsidRPr="00A33E4A" w:rsidRDefault="00A33E4A" w:rsidP="00A33E4A">
            <w:pPr>
              <w:jc w:val="right"/>
              <w:rPr>
                <w:rFonts w:ascii="Arial" w:eastAsia="Times New Roman" w:hAnsi="Arial" w:cs="Arial"/>
                <w:color w:val="000000"/>
                <w:sz w:val="20"/>
                <w:szCs w:val="20"/>
                <w:lang w:eastAsia="en-GB"/>
              </w:rPr>
            </w:pPr>
            <w:r w:rsidRPr="00A33E4A">
              <w:rPr>
                <w:rFonts w:ascii="Arial" w:eastAsia="Times New Roman" w:hAnsi="Arial" w:cs="Arial"/>
                <w:color w:val="000000"/>
                <w:sz w:val="20"/>
                <w:szCs w:val="20"/>
                <w:lang w:eastAsia="en-GB"/>
              </w:rPr>
              <w:t>47.6%</w:t>
            </w:r>
          </w:p>
        </w:tc>
        <w:tc>
          <w:tcPr>
            <w:tcW w:w="828"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A33E4A" w:rsidRPr="00A33E4A" w:rsidRDefault="00A33E4A" w:rsidP="00A33E4A">
            <w:pPr>
              <w:jc w:val="right"/>
              <w:rPr>
                <w:rFonts w:ascii="Arial" w:eastAsia="Times New Roman" w:hAnsi="Arial" w:cs="Arial"/>
                <w:color w:val="000000"/>
                <w:sz w:val="20"/>
                <w:szCs w:val="20"/>
                <w:lang w:eastAsia="en-GB"/>
              </w:rPr>
            </w:pPr>
            <w:r w:rsidRPr="00A33E4A">
              <w:rPr>
                <w:rFonts w:ascii="Arial" w:eastAsia="Times New Roman" w:hAnsi="Arial" w:cs="Arial"/>
                <w:color w:val="000000"/>
                <w:sz w:val="20"/>
                <w:szCs w:val="20"/>
                <w:lang w:eastAsia="en-GB"/>
              </w:rPr>
              <w:t>47.9%</w:t>
            </w:r>
          </w:p>
        </w:tc>
        <w:tc>
          <w:tcPr>
            <w:tcW w:w="811"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A33E4A" w:rsidRPr="00A33E4A" w:rsidRDefault="00A33E4A" w:rsidP="00A33E4A">
            <w:pPr>
              <w:jc w:val="right"/>
              <w:rPr>
                <w:rFonts w:ascii="Arial" w:eastAsia="Times New Roman" w:hAnsi="Arial" w:cs="Arial"/>
                <w:color w:val="000000"/>
                <w:sz w:val="20"/>
                <w:szCs w:val="20"/>
                <w:lang w:eastAsia="en-GB"/>
              </w:rPr>
            </w:pPr>
            <w:r w:rsidRPr="00A33E4A">
              <w:rPr>
                <w:rFonts w:ascii="Arial" w:eastAsia="Times New Roman" w:hAnsi="Arial" w:cs="Arial"/>
                <w:color w:val="000000"/>
                <w:sz w:val="20"/>
                <w:szCs w:val="20"/>
                <w:lang w:eastAsia="en-GB"/>
              </w:rPr>
              <w:t>48.0%</w:t>
            </w:r>
          </w:p>
        </w:tc>
        <w:tc>
          <w:tcPr>
            <w:tcW w:w="828"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A33E4A" w:rsidRPr="00A33E4A" w:rsidRDefault="00A33E4A" w:rsidP="00A33E4A">
            <w:pPr>
              <w:jc w:val="right"/>
              <w:rPr>
                <w:rFonts w:ascii="Arial" w:eastAsia="Times New Roman" w:hAnsi="Arial" w:cs="Arial"/>
                <w:color w:val="000000"/>
                <w:sz w:val="20"/>
                <w:szCs w:val="20"/>
                <w:lang w:eastAsia="en-GB"/>
              </w:rPr>
            </w:pPr>
            <w:r w:rsidRPr="00A33E4A">
              <w:rPr>
                <w:rFonts w:ascii="Arial" w:eastAsia="Times New Roman" w:hAnsi="Arial" w:cs="Arial"/>
                <w:color w:val="000000"/>
                <w:sz w:val="20"/>
                <w:szCs w:val="20"/>
                <w:lang w:eastAsia="en-GB"/>
              </w:rPr>
              <w:t>47.7%</w:t>
            </w:r>
          </w:p>
        </w:tc>
        <w:tc>
          <w:tcPr>
            <w:tcW w:w="828"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A33E4A" w:rsidRPr="00A33E4A" w:rsidRDefault="00A33E4A" w:rsidP="00A33E4A">
            <w:pPr>
              <w:jc w:val="right"/>
              <w:rPr>
                <w:rFonts w:ascii="Arial" w:eastAsia="Times New Roman" w:hAnsi="Arial" w:cs="Arial"/>
                <w:color w:val="000000"/>
                <w:sz w:val="20"/>
                <w:szCs w:val="20"/>
                <w:lang w:eastAsia="en-GB"/>
              </w:rPr>
            </w:pPr>
            <w:r w:rsidRPr="00A33E4A">
              <w:rPr>
                <w:rFonts w:ascii="Arial" w:eastAsia="Times New Roman" w:hAnsi="Arial" w:cs="Arial"/>
                <w:color w:val="000000"/>
                <w:sz w:val="20"/>
                <w:szCs w:val="20"/>
                <w:lang w:eastAsia="en-GB"/>
              </w:rPr>
              <w:t>47.2%</w:t>
            </w:r>
          </w:p>
        </w:tc>
        <w:tc>
          <w:tcPr>
            <w:tcW w:w="828"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A33E4A" w:rsidRPr="00A33E4A" w:rsidRDefault="00A33E4A" w:rsidP="00A33E4A">
            <w:pPr>
              <w:jc w:val="right"/>
              <w:rPr>
                <w:rFonts w:ascii="Arial" w:eastAsia="Times New Roman" w:hAnsi="Arial" w:cs="Arial"/>
                <w:color w:val="000000"/>
                <w:sz w:val="20"/>
                <w:szCs w:val="20"/>
                <w:lang w:eastAsia="en-GB"/>
              </w:rPr>
            </w:pPr>
            <w:r w:rsidRPr="00A33E4A">
              <w:rPr>
                <w:rFonts w:ascii="Arial" w:eastAsia="Times New Roman" w:hAnsi="Arial" w:cs="Arial"/>
                <w:color w:val="000000"/>
                <w:sz w:val="20"/>
                <w:szCs w:val="20"/>
                <w:lang w:eastAsia="en-GB"/>
              </w:rPr>
              <w:t>47.1%</w:t>
            </w:r>
          </w:p>
        </w:tc>
        <w:tc>
          <w:tcPr>
            <w:tcW w:w="828"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A33E4A" w:rsidRPr="00A33E4A" w:rsidRDefault="00A33E4A" w:rsidP="00A33E4A">
            <w:pPr>
              <w:jc w:val="right"/>
              <w:rPr>
                <w:rFonts w:ascii="Arial" w:eastAsia="Times New Roman" w:hAnsi="Arial" w:cs="Arial"/>
                <w:color w:val="000000"/>
                <w:sz w:val="20"/>
                <w:szCs w:val="20"/>
                <w:lang w:eastAsia="en-GB"/>
              </w:rPr>
            </w:pPr>
            <w:r w:rsidRPr="00A33E4A">
              <w:rPr>
                <w:rFonts w:ascii="Arial" w:eastAsia="Times New Roman" w:hAnsi="Arial" w:cs="Arial"/>
                <w:color w:val="000000"/>
                <w:sz w:val="20"/>
                <w:szCs w:val="20"/>
                <w:lang w:eastAsia="en-GB"/>
              </w:rPr>
              <w:t>46.7%</w:t>
            </w:r>
          </w:p>
        </w:tc>
        <w:tc>
          <w:tcPr>
            <w:tcW w:w="887"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A33E4A" w:rsidRPr="00A33E4A" w:rsidRDefault="00A33E4A" w:rsidP="00A33E4A">
            <w:pPr>
              <w:jc w:val="right"/>
              <w:rPr>
                <w:rFonts w:ascii="Arial" w:eastAsia="Times New Roman" w:hAnsi="Arial" w:cs="Arial"/>
                <w:color w:val="000000"/>
                <w:sz w:val="20"/>
                <w:szCs w:val="20"/>
                <w:lang w:eastAsia="en-GB"/>
              </w:rPr>
            </w:pPr>
            <w:r w:rsidRPr="00A33E4A">
              <w:rPr>
                <w:rFonts w:ascii="Arial" w:eastAsia="Times New Roman" w:hAnsi="Arial" w:cs="Arial"/>
                <w:color w:val="000000"/>
                <w:sz w:val="20"/>
                <w:szCs w:val="20"/>
                <w:lang w:eastAsia="en-GB"/>
              </w:rPr>
              <w:t>46.5%</w:t>
            </w:r>
          </w:p>
        </w:tc>
        <w:tc>
          <w:tcPr>
            <w:tcW w:w="887"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A33E4A" w:rsidRPr="00A33E4A" w:rsidRDefault="00A33E4A" w:rsidP="00A33E4A">
            <w:pPr>
              <w:jc w:val="right"/>
              <w:rPr>
                <w:rFonts w:ascii="Arial" w:eastAsia="Times New Roman" w:hAnsi="Arial" w:cs="Arial"/>
                <w:color w:val="000000"/>
                <w:sz w:val="20"/>
                <w:szCs w:val="20"/>
                <w:lang w:eastAsia="en-GB"/>
              </w:rPr>
            </w:pPr>
            <w:r w:rsidRPr="00A33E4A">
              <w:rPr>
                <w:rFonts w:ascii="Arial" w:eastAsia="Times New Roman" w:hAnsi="Arial" w:cs="Arial"/>
                <w:color w:val="000000"/>
                <w:sz w:val="20"/>
                <w:szCs w:val="20"/>
                <w:lang w:eastAsia="en-GB"/>
              </w:rPr>
              <w:t>46.6%</w:t>
            </w:r>
          </w:p>
        </w:tc>
        <w:tc>
          <w:tcPr>
            <w:tcW w:w="887" w:type="dxa"/>
            <w:tcBorders>
              <w:top w:val="single" w:sz="4" w:space="0" w:color="FFFFFF"/>
              <w:left w:val="single" w:sz="4" w:space="0" w:color="FFFFFF"/>
              <w:bottom w:val="single" w:sz="4" w:space="0" w:color="FFFFFF"/>
              <w:right w:val="nil"/>
            </w:tcBorders>
            <w:shd w:val="clear" w:color="EBF1DE" w:fill="EBF1DE"/>
            <w:noWrap/>
            <w:vAlign w:val="bottom"/>
            <w:hideMark/>
          </w:tcPr>
          <w:p w:rsidR="00A33E4A" w:rsidRPr="00A33E4A" w:rsidRDefault="00A33E4A" w:rsidP="00A33E4A">
            <w:pPr>
              <w:jc w:val="right"/>
              <w:rPr>
                <w:rFonts w:ascii="Arial" w:eastAsia="Times New Roman" w:hAnsi="Arial" w:cs="Arial"/>
                <w:color w:val="000000"/>
                <w:sz w:val="20"/>
                <w:szCs w:val="20"/>
                <w:lang w:eastAsia="en-GB"/>
              </w:rPr>
            </w:pPr>
            <w:r w:rsidRPr="00A33E4A">
              <w:rPr>
                <w:rFonts w:ascii="Arial" w:eastAsia="Times New Roman" w:hAnsi="Arial" w:cs="Arial"/>
                <w:color w:val="000000"/>
                <w:sz w:val="20"/>
                <w:szCs w:val="20"/>
                <w:lang w:eastAsia="en-GB"/>
              </w:rPr>
              <w:t>46.5%</w:t>
            </w:r>
          </w:p>
        </w:tc>
      </w:tr>
      <w:tr w:rsidR="00A33E4A" w:rsidRPr="00EA1DAC" w:rsidTr="00A33E4A">
        <w:trPr>
          <w:trHeight w:val="310"/>
        </w:trPr>
        <w:tc>
          <w:tcPr>
            <w:tcW w:w="5351" w:type="dxa"/>
            <w:gridSpan w:val="5"/>
            <w:tcBorders>
              <w:top w:val="single" w:sz="4" w:space="0" w:color="FFFFFF"/>
              <w:left w:val="nil"/>
              <w:bottom w:val="nil"/>
              <w:right w:val="single" w:sz="4" w:space="0" w:color="FFFFFF"/>
            </w:tcBorders>
            <w:shd w:val="clear" w:color="D8E4BC" w:fill="D8E4BC"/>
            <w:noWrap/>
            <w:vAlign w:val="bottom"/>
            <w:hideMark/>
          </w:tcPr>
          <w:p w:rsidR="00A33E4A" w:rsidRPr="00A33E4A" w:rsidRDefault="00A33E4A" w:rsidP="00A33E4A">
            <w:pPr>
              <w:rPr>
                <w:rFonts w:ascii="Arial" w:eastAsia="Times New Roman" w:hAnsi="Arial" w:cs="Arial"/>
                <w:i/>
                <w:iCs/>
                <w:color w:val="000000"/>
                <w:sz w:val="20"/>
                <w:szCs w:val="20"/>
                <w:lang w:val="da-DK" w:eastAsia="en-GB"/>
              </w:rPr>
            </w:pPr>
            <w:r w:rsidRPr="00A33E4A">
              <w:rPr>
                <w:rFonts w:ascii="Arial" w:eastAsia="Times New Roman" w:hAnsi="Arial" w:cs="Arial"/>
                <w:i/>
                <w:iCs/>
                <w:color w:val="000000"/>
                <w:sz w:val="20"/>
                <w:szCs w:val="20"/>
                <w:lang w:val="da-DK" w:eastAsia="en-GB"/>
              </w:rPr>
              <w:t xml:space="preserve">Kilde: STO side 105. </w:t>
            </w:r>
            <w:proofErr w:type="spellStart"/>
            <w:r w:rsidRPr="00A33E4A">
              <w:rPr>
                <w:rFonts w:ascii="Arial" w:eastAsia="Times New Roman" w:hAnsi="Arial" w:cs="Arial"/>
                <w:i/>
                <w:iCs/>
                <w:color w:val="000000"/>
                <w:sz w:val="20"/>
                <w:szCs w:val="20"/>
                <w:lang w:val="da-DK" w:eastAsia="en-GB"/>
              </w:rPr>
              <w:t>Anm</w:t>
            </w:r>
            <w:proofErr w:type="spellEnd"/>
            <w:r w:rsidRPr="00A33E4A">
              <w:rPr>
                <w:rFonts w:ascii="Arial" w:eastAsia="Times New Roman" w:hAnsi="Arial" w:cs="Arial"/>
                <w:i/>
                <w:iCs/>
                <w:color w:val="000000"/>
                <w:sz w:val="20"/>
                <w:szCs w:val="20"/>
                <w:lang w:val="da-DK" w:eastAsia="en-GB"/>
              </w:rPr>
              <w:t>: De sidste tre år(2017-2019) er stadig under revision)</w:t>
            </w:r>
          </w:p>
        </w:tc>
        <w:tc>
          <w:tcPr>
            <w:tcW w:w="828" w:type="dxa"/>
            <w:tcBorders>
              <w:top w:val="single" w:sz="4" w:space="0" w:color="FFFFFF"/>
              <w:left w:val="single" w:sz="4" w:space="0" w:color="FFFFFF"/>
              <w:bottom w:val="nil"/>
              <w:right w:val="single" w:sz="4" w:space="0" w:color="FFFFFF"/>
            </w:tcBorders>
            <w:shd w:val="clear" w:color="D8E4BC" w:fill="D8E4BC"/>
            <w:noWrap/>
            <w:vAlign w:val="bottom"/>
            <w:hideMark/>
          </w:tcPr>
          <w:p w:rsidR="00A33E4A" w:rsidRPr="00A33E4A" w:rsidRDefault="00A33E4A" w:rsidP="00A33E4A">
            <w:pPr>
              <w:rPr>
                <w:rFonts w:ascii="Arial" w:eastAsia="Times New Roman" w:hAnsi="Arial" w:cs="Arial"/>
                <w:i/>
                <w:iCs/>
                <w:color w:val="000000"/>
                <w:sz w:val="20"/>
                <w:szCs w:val="20"/>
                <w:lang w:val="da-DK" w:eastAsia="en-GB"/>
              </w:rPr>
            </w:pPr>
          </w:p>
        </w:tc>
        <w:tc>
          <w:tcPr>
            <w:tcW w:w="828" w:type="dxa"/>
            <w:tcBorders>
              <w:top w:val="single" w:sz="4" w:space="0" w:color="FFFFFF"/>
              <w:left w:val="single" w:sz="4" w:space="0" w:color="FFFFFF"/>
              <w:bottom w:val="nil"/>
              <w:right w:val="single" w:sz="4" w:space="0" w:color="FFFFFF"/>
            </w:tcBorders>
            <w:shd w:val="clear" w:color="D8E4BC" w:fill="D8E4BC"/>
            <w:noWrap/>
            <w:vAlign w:val="bottom"/>
            <w:hideMark/>
          </w:tcPr>
          <w:p w:rsidR="00A33E4A" w:rsidRPr="00A33E4A" w:rsidRDefault="00A33E4A" w:rsidP="00A33E4A">
            <w:pPr>
              <w:rPr>
                <w:rFonts w:ascii="Times New Roman" w:eastAsia="Times New Roman" w:hAnsi="Times New Roman" w:cs="Times New Roman"/>
                <w:sz w:val="20"/>
                <w:szCs w:val="20"/>
                <w:lang w:val="da-DK" w:eastAsia="en-GB"/>
              </w:rPr>
            </w:pPr>
          </w:p>
        </w:tc>
        <w:tc>
          <w:tcPr>
            <w:tcW w:w="828" w:type="dxa"/>
            <w:tcBorders>
              <w:top w:val="single" w:sz="4" w:space="0" w:color="FFFFFF"/>
              <w:left w:val="single" w:sz="4" w:space="0" w:color="FFFFFF"/>
              <w:bottom w:val="nil"/>
              <w:right w:val="single" w:sz="4" w:space="0" w:color="FFFFFF"/>
            </w:tcBorders>
            <w:shd w:val="clear" w:color="D8E4BC" w:fill="D8E4BC"/>
            <w:noWrap/>
            <w:vAlign w:val="bottom"/>
            <w:hideMark/>
          </w:tcPr>
          <w:p w:rsidR="00A33E4A" w:rsidRPr="00A33E4A" w:rsidRDefault="00A33E4A" w:rsidP="00A33E4A">
            <w:pPr>
              <w:rPr>
                <w:rFonts w:ascii="Times New Roman" w:eastAsia="Times New Roman" w:hAnsi="Times New Roman" w:cs="Times New Roman"/>
                <w:sz w:val="20"/>
                <w:szCs w:val="20"/>
                <w:lang w:val="da-DK" w:eastAsia="en-GB"/>
              </w:rPr>
            </w:pPr>
          </w:p>
        </w:tc>
        <w:tc>
          <w:tcPr>
            <w:tcW w:w="828" w:type="dxa"/>
            <w:tcBorders>
              <w:top w:val="single" w:sz="4" w:space="0" w:color="FFFFFF"/>
              <w:left w:val="single" w:sz="4" w:space="0" w:color="FFFFFF"/>
              <w:bottom w:val="nil"/>
              <w:right w:val="single" w:sz="4" w:space="0" w:color="FFFFFF"/>
            </w:tcBorders>
            <w:shd w:val="clear" w:color="D8E4BC" w:fill="D8E4BC"/>
            <w:noWrap/>
            <w:vAlign w:val="bottom"/>
            <w:hideMark/>
          </w:tcPr>
          <w:p w:rsidR="00A33E4A" w:rsidRPr="00A33E4A" w:rsidRDefault="00A33E4A" w:rsidP="00A33E4A">
            <w:pPr>
              <w:rPr>
                <w:rFonts w:ascii="Times New Roman" w:eastAsia="Times New Roman" w:hAnsi="Times New Roman" w:cs="Times New Roman"/>
                <w:sz w:val="20"/>
                <w:szCs w:val="20"/>
                <w:lang w:val="da-DK" w:eastAsia="en-GB"/>
              </w:rPr>
            </w:pPr>
          </w:p>
        </w:tc>
        <w:tc>
          <w:tcPr>
            <w:tcW w:w="887" w:type="dxa"/>
            <w:tcBorders>
              <w:top w:val="single" w:sz="4" w:space="0" w:color="FFFFFF"/>
              <w:left w:val="single" w:sz="4" w:space="0" w:color="FFFFFF"/>
              <w:bottom w:val="nil"/>
              <w:right w:val="single" w:sz="4" w:space="0" w:color="FFFFFF"/>
            </w:tcBorders>
            <w:shd w:val="clear" w:color="D8E4BC" w:fill="D8E4BC"/>
            <w:noWrap/>
            <w:vAlign w:val="bottom"/>
            <w:hideMark/>
          </w:tcPr>
          <w:p w:rsidR="00A33E4A" w:rsidRPr="00A33E4A" w:rsidRDefault="00A33E4A" w:rsidP="00A33E4A">
            <w:pPr>
              <w:rPr>
                <w:rFonts w:ascii="Times New Roman" w:eastAsia="Times New Roman" w:hAnsi="Times New Roman" w:cs="Times New Roman"/>
                <w:sz w:val="20"/>
                <w:szCs w:val="20"/>
                <w:lang w:val="da-DK" w:eastAsia="en-GB"/>
              </w:rPr>
            </w:pPr>
          </w:p>
        </w:tc>
        <w:tc>
          <w:tcPr>
            <w:tcW w:w="887" w:type="dxa"/>
            <w:tcBorders>
              <w:top w:val="single" w:sz="4" w:space="0" w:color="FFFFFF"/>
              <w:left w:val="single" w:sz="4" w:space="0" w:color="FFFFFF"/>
              <w:bottom w:val="nil"/>
              <w:right w:val="single" w:sz="4" w:space="0" w:color="FFFFFF"/>
            </w:tcBorders>
            <w:shd w:val="clear" w:color="D8E4BC" w:fill="D8E4BC"/>
            <w:noWrap/>
            <w:vAlign w:val="bottom"/>
            <w:hideMark/>
          </w:tcPr>
          <w:p w:rsidR="00A33E4A" w:rsidRPr="00A33E4A" w:rsidRDefault="00A33E4A" w:rsidP="00A33E4A">
            <w:pPr>
              <w:rPr>
                <w:rFonts w:ascii="Times New Roman" w:eastAsia="Times New Roman" w:hAnsi="Times New Roman" w:cs="Times New Roman"/>
                <w:sz w:val="20"/>
                <w:szCs w:val="20"/>
                <w:lang w:val="da-DK" w:eastAsia="en-GB"/>
              </w:rPr>
            </w:pPr>
          </w:p>
        </w:tc>
        <w:tc>
          <w:tcPr>
            <w:tcW w:w="887" w:type="dxa"/>
            <w:tcBorders>
              <w:top w:val="single" w:sz="4" w:space="0" w:color="FFFFFF"/>
              <w:left w:val="single" w:sz="4" w:space="0" w:color="FFFFFF"/>
              <w:bottom w:val="nil"/>
              <w:right w:val="nil"/>
            </w:tcBorders>
            <w:shd w:val="clear" w:color="D8E4BC" w:fill="D8E4BC"/>
            <w:noWrap/>
            <w:vAlign w:val="bottom"/>
            <w:hideMark/>
          </w:tcPr>
          <w:p w:rsidR="00A33E4A" w:rsidRPr="00A33E4A" w:rsidRDefault="00A33E4A" w:rsidP="00A33E4A">
            <w:pPr>
              <w:rPr>
                <w:rFonts w:ascii="Times New Roman" w:eastAsia="Times New Roman" w:hAnsi="Times New Roman" w:cs="Times New Roman"/>
                <w:sz w:val="20"/>
                <w:szCs w:val="20"/>
                <w:lang w:val="da-DK" w:eastAsia="en-GB"/>
              </w:rPr>
            </w:pPr>
          </w:p>
        </w:tc>
      </w:tr>
    </w:tbl>
    <w:p w:rsidR="00A33E4A" w:rsidRPr="00B51C0E" w:rsidRDefault="00A33E4A" w:rsidP="00B51C0E">
      <w:pPr>
        <w:spacing w:line="360" w:lineRule="auto"/>
        <w:rPr>
          <w:rFonts w:eastAsiaTheme="minorEastAsia"/>
          <w:lang w:val="da-DK"/>
        </w:rPr>
      </w:pPr>
    </w:p>
    <w:sectPr w:rsidR="00A33E4A" w:rsidRPr="00B51C0E">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3119C" w:rsidRDefault="0053119C" w:rsidP="0031541E">
      <w:r>
        <w:separator/>
      </w:r>
    </w:p>
  </w:endnote>
  <w:endnote w:type="continuationSeparator" w:id="0">
    <w:p w:rsidR="0053119C" w:rsidRDefault="0053119C" w:rsidP="00315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3119C" w:rsidRDefault="0053119C" w:rsidP="0031541E">
      <w:r>
        <w:separator/>
      </w:r>
    </w:p>
  </w:footnote>
  <w:footnote w:type="continuationSeparator" w:id="0">
    <w:p w:rsidR="0053119C" w:rsidRDefault="0053119C" w:rsidP="003154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1541E" w:rsidRPr="0031541E" w:rsidRDefault="0031541E">
    <w:pPr>
      <w:pStyle w:val="Header"/>
      <w:rPr>
        <w:lang w:val="da-DK"/>
      </w:rPr>
    </w:pPr>
    <w:r w:rsidRPr="0031541E">
      <w:rPr>
        <w:lang w:val="da-DK"/>
      </w:rPr>
      <w:t>Jeppe Vanderhaegen</w:t>
    </w:r>
    <w:r w:rsidRPr="0031541E">
      <w:rPr>
        <w:lang w:val="da-DK"/>
      </w:rPr>
      <w:tab/>
      <w:t>Københavns Universitet</w:t>
    </w:r>
    <w:r w:rsidRPr="0031541E">
      <w:rPr>
        <w:lang w:val="da-DK"/>
      </w:rPr>
      <w:tab/>
      <w:t>Hold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D92A5B"/>
    <w:multiLevelType w:val="hybridMultilevel"/>
    <w:tmpl w:val="242629A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AE6E6D"/>
    <w:multiLevelType w:val="hybridMultilevel"/>
    <w:tmpl w:val="9A8ECC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41E"/>
    <w:rsid w:val="0006460C"/>
    <w:rsid w:val="00080167"/>
    <w:rsid w:val="002E1F6A"/>
    <w:rsid w:val="0031541E"/>
    <w:rsid w:val="00393C64"/>
    <w:rsid w:val="003A765F"/>
    <w:rsid w:val="004630E4"/>
    <w:rsid w:val="004A3B44"/>
    <w:rsid w:val="0053119C"/>
    <w:rsid w:val="007B7F04"/>
    <w:rsid w:val="00800E5E"/>
    <w:rsid w:val="0084121A"/>
    <w:rsid w:val="008A1313"/>
    <w:rsid w:val="00917A6A"/>
    <w:rsid w:val="00A33E4A"/>
    <w:rsid w:val="00AF1842"/>
    <w:rsid w:val="00B51435"/>
    <w:rsid w:val="00B51C0E"/>
    <w:rsid w:val="00C843C9"/>
    <w:rsid w:val="00CC2148"/>
    <w:rsid w:val="00D24733"/>
    <w:rsid w:val="00DA230F"/>
    <w:rsid w:val="00E63B2E"/>
    <w:rsid w:val="00EA1DAC"/>
    <w:rsid w:val="00F53ECA"/>
    <w:rsid w:val="00FD46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A096F"/>
  <w15:chartTrackingRefBased/>
  <w15:docId w15:val="{B471AB4A-0B61-2B46-AA42-64A716C3C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541E"/>
    <w:pPr>
      <w:tabs>
        <w:tab w:val="center" w:pos="4513"/>
        <w:tab w:val="right" w:pos="9026"/>
      </w:tabs>
    </w:pPr>
  </w:style>
  <w:style w:type="character" w:customStyle="1" w:styleId="HeaderChar">
    <w:name w:val="Header Char"/>
    <w:basedOn w:val="DefaultParagraphFont"/>
    <w:link w:val="Header"/>
    <w:uiPriority w:val="99"/>
    <w:rsid w:val="0031541E"/>
  </w:style>
  <w:style w:type="paragraph" w:styleId="Footer">
    <w:name w:val="footer"/>
    <w:basedOn w:val="Normal"/>
    <w:link w:val="FooterChar"/>
    <w:uiPriority w:val="99"/>
    <w:unhideWhenUsed/>
    <w:rsid w:val="0031541E"/>
    <w:pPr>
      <w:tabs>
        <w:tab w:val="center" w:pos="4513"/>
        <w:tab w:val="right" w:pos="9026"/>
      </w:tabs>
    </w:pPr>
  </w:style>
  <w:style w:type="character" w:customStyle="1" w:styleId="FooterChar">
    <w:name w:val="Footer Char"/>
    <w:basedOn w:val="DefaultParagraphFont"/>
    <w:link w:val="Footer"/>
    <w:uiPriority w:val="99"/>
    <w:rsid w:val="0031541E"/>
  </w:style>
  <w:style w:type="paragraph" w:styleId="ListParagraph">
    <w:name w:val="List Paragraph"/>
    <w:basedOn w:val="Normal"/>
    <w:uiPriority w:val="34"/>
    <w:qFormat/>
    <w:rsid w:val="0031541E"/>
    <w:pPr>
      <w:ind w:left="720"/>
      <w:contextualSpacing/>
    </w:pPr>
  </w:style>
  <w:style w:type="character" w:styleId="PlaceholderText">
    <w:name w:val="Placeholder Text"/>
    <w:basedOn w:val="DefaultParagraphFont"/>
    <w:uiPriority w:val="99"/>
    <w:semiHidden/>
    <w:rsid w:val="003154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1901">
      <w:bodyDiv w:val="1"/>
      <w:marLeft w:val="0"/>
      <w:marRight w:val="0"/>
      <w:marTop w:val="0"/>
      <w:marBottom w:val="0"/>
      <w:divBdr>
        <w:top w:val="none" w:sz="0" w:space="0" w:color="auto"/>
        <w:left w:val="none" w:sz="0" w:space="0" w:color="auto"/>
        <w:bottom w:val="none" w:sz="0" w:space="0" w:color="auto"/>
        <w:right w:val="none" w:sz="0" w:space="0" w:color="auto"/>
      </w:divBdr>
    </w:div>
    <w:div w:id="80489553">
      <w:bodyDiv w:val="1"/>
      <w:marLeft w:val="0"/>
      <w:marRight w:val="0"/>
      <w:marTop w:val="0"/>
      <w:marBottom w:val="0"/>
      <w:divBdr>
        <w:top w:val="none" w:sz="0" w:space="0" w:color="auto"/>
        <w:left w:val="none" w:sz="0" w:space="0" w:color="auto"/>
        <w:bottom w:val="none" w:sz="0" w:space="0" w:color="auto"/>
        <w:right w:val="none" w:sz="0" w:space="0" w:color="auto"/>
      </w:divBdr>
    </w:div>
    <w:div w:id="262566737">
      <w:bodyDiv w:val="1"/>
      <w:marLeft w:val="0"/>
      <w:marRight w:val="0"/>
      <w:marTop w:val="0"/>
      <w:marBottom w:val="0"/>
      <w:divBdr>
        <w:top w:val="none" w:sz="0" w:space="0" w:color="auto"/>
        <w:left w:val="none" w:sz="0" w:space="0" w:color="auto"/>
        <w:bottom w:val="none" w:sz="0" w:space="0" w:color="auto"/>
        <w:right w:val="none" w:sz="0" w:space="0" w:color="auto"/>
      </w:divBdr>
    </w:div>
    <w:div w:id="799111107">
      <w:bodyDiv w:val="1"/>
      <w:marLeft w:val="0"/>
      <w:marRight w:val="0"/>
      <w:marTop w:val="0"/>
      <w:marBottom w:val="0"/>
      <w:divBdr>
        <w:top w:val="none" w:sz="0" w:space="0" w:color="auto"/>
        <w:left w:val="none" w:sz="0" w:space="0" w:color="auto"/>
        <w:bottom w:val="none" w:sz="0" w:space="0" w:color="auto"/>
        <w:right w:val="none" w:sz="0" w:space="0" w:color="auto"/>
      </w:divBdr>
    </w:div>
    <w:div w:id="1316645825">
      <w:bodyDiv w:val="1"/>
      <w:marLeft w:val="0"/>
      <w:marRight w:val="0"/>
      <w:marTop w:val="0"/>
      <w:marBottom w:val="0"/>
      <w:divBdr>
        <w:top w:val="none" w:sz="0" w:space="0" w:color="auto"/>
        <w:left w:val="none" w:sz="0" w:space="0" w:color="auto"/>
        <w:bottom w:val="none" w:sz="0" w:space="0" w:color="auto"/>
        <w:right w:val="none" w:sz="0" w:space="0" w:color="auto"/>
      </w:divBdr>
    </w:div>
    <w:div w:id="1639996763">
      <w:bodyDiv w:val="1"/>
      <w:marLeft w:val="0"/>
      <w:marRight w:val="0"/>
      <w:marTop w:val="0"/>
      <w:marBottom w:val="0"/>
      <w:divBdr>
        <w:top w:val="none" w:sz="0" w:space="0" w:color="auto"/>
        <w:left w:val="none" w:sz="0" w:space="0" w:color="auto"/>
        <w:bottom w:val="none" w:sz="0" w:space="0" w:color="auto"/>
        <w:right w:val="none" w:sz="0" w:space="0" w:color="auto"/>
      </w:divBdr>
    </w:div>
    <w:div w:id="168501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apee/Documents/University/Samf%20A%20/Opgaver/Lynpr&#248;ve.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apee/Documents/University/Samf%20A%20/Opgaver/Lynpr&#248;ve.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apee/Documents/University/Samf%20A%20/Opgaver/Lynpr&#248;ve.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Figur</a:t>
            </a:r>
            <a:r>
              <a:rPr lang="en-GB" baseline="0"/>
              <a:t> 2.1: Bedrifter med køers størrelse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148600174978127"/>
          <c:y val="0.17168999708369787"/>
          <c:w val="0.84795844269466314"/>
          <c:h val="0.65613407699037618"/>
        </c:manualLayout>
      </c:layout>
      <c:lineChart>
        <c:grouping val="standard"/>
        <c:varyColors val="0"/>
        <c:ser>
          <c:idx val="0"/>
          <c:order val="0"/>
          <c:tx>
            <c:strRef>
              <c:f>'Bilag 1'!$D$5</c:f>
              <c:strCache>
                <c:ptCount val="1"/>
                <c:pt idx="0">
                  <c:v>Nedre</c:v>
                </c:pt>
              </c:strCache>
            </c:strRef>
          </c:tx>
          <c:spPr>
            <a:ln w="28575" cap="rnd">
              <a:noFill/>
              <a:round/>
            </a:ln>
            <a:effectLst/>
          </c:spPr>
          <c:marker>
            <c:symbol val="circle"/>
            <c:size val="5"/>
            <c:spPr>
              <a:solidFill>
                <a:schemeClr val="accent1"/>
              </a:solidFill>
              <a:ln w="9525">
                <a:solidFill>
                  <a:schemeClr val="accent1"/>
                </a:solidFill>
              </a:ln>
              <a:effectLst/>
            </c:spPr>
          </c:marker>
          <c:cat>
            <c:numRef>
              <c:f>'Bilag 1'!$E$4:$F$4</c:f>
              <c:numCache>
                <c:formatCode>General</c:formatCode>
                <c:ptCount val="2"/>
                <c:pt idx="0">
                  <c:v>2000</c:v>
                </c:pt>
                <c:pt idx="1">
                  <c:v>2010</c:v>
                </c:pt>
              </c:numCache>
            </c:numRef>
          </c:cat>
          <c:val>
            <c:numRef>
              <c:f>'Bilag 1'!$E$5:$F$5</c:f>
              <c:numCache>
                <c:formatCode>0</c:formatCode>
                <c:ptCount val="2"/>
                <c:pt idx="0">
                  <c:v>56</c:v>
                </c:pt>
                <c:pt idx="1">
                  <c:v>59</c:v>
                </c:pt>
              </c:numCache>
            </c:numRef>
          </c:val>
          <c:smooth val="0"/>
          <c:extLst>
            <c:ext xmlns:c16="http://schemas.microsoft.com/office/drawing/2014/chart" uri="{C3380CC4-5D6E-409C-BE32-E72D297353CC}">
              <c16:uniqueId val="{00000000-DDA0-1744-91A8-92A5F83EAA42}"/>
            </c:ext>
          </c:extLst>
        </c:ser>
        <c:ser>
          <c:idx val="1"/>
          <c:order val="1"/>
          <c:tx>
            <c:strRef>
              <c:f>'Bilag 1'!$D$6</c:f>
              <c:strCache>
                <c:ptCount val="1"/>
                <c:pt idx="0">
                  <c:v>Min</c:v>
                </c:pt>
              </c:strCache>
            </c:strRef>
          </c:tx>
          <c:spPr>
            <a:ln w="28575" cap="rnd">
              <a:noFill/>
              <a:round/>
            </a:ln>
            <a:effectLst/>
          </c:spPr>
          <c:marker>
            <c:symbol val="circle"/>
            <c:size val="5"/>
            <c:spPr>
              <a:solidFill>
                <a:schemeClr val="accent2"/>
              </a:solidFill>
              <a:ln w="9525">
                <a:solidFill>
                  <a:schemeClr val="accent2"/>
                </a:solidFill>
              </a:ln>
              <a:effectLst/>
            </c:spPr>
          </c:marker>
          <c:cat>
            <c:numRef>
              <c:f>'Bilag 1'!$E$4:$F$4</c:f>
              <c:numCache>
                <c:formatCode>General</c:formatCode>
                <c:ptCount val="2"/>
                <c:pt idx="0">
                  <c:v>2000</c:v>
                </c:pt>
                <c:pt idx="1">
                  <c:v>2010</c:v>
                </c:pt>
              </c:numCache>
            </c:numRef>
          </c:cat>
          <c:val>
            <c:numRef>
              <c:f>'Bilag 1'!$E$6:$F$6</c:f>
              <c:numCache>
                <c:formatCode>0</c:formatCode>
                <c:ptCount val="2"/>
                <c:pt idx="0">
                  <c:v>18</c:v>
                </c:pt>
                <c:pt idx="1">
                  <c:v>20</c:v>
                </c:pt>
              </c:numCache>
            </c:numRef>
          </c:val>
          <c:smooth val="0"/>
          <c:extLst>
            <c:ext xmlns:c16="http://schemas.microsoft.com/office/drawing/2014/chart" uri="{C3380CC4-5D6E-409C-BE32-E72D297353CC}">
              <c16:uniqueId val="{00000001-DDA0-1744-91A8-92A5F83EAA42}"/>
            </c:ext>
          </c:extLst>
        </c:ser>
        <c:ser>
          <c:idx val="2"/>
          <c:order val="2"/>
          <c:tx>
            <c:strRef>
              <c:f>'Bilag 1'!$D$7</c:f>
              <c:strCache>
                <c:ptCount val="1"/>
                <c:pt idx="0">
                  <c:v>Median</c:v>
                </c:pt>
              </c:strCache>
            </c:strRef>
          </c:tx>
          <c:spPr>
            <a:ln w="28575" cap="rnd">
              <a:noFill/>
              <a:round/>
            </a:ln>
            <a:effectLst/>
          </c:spPr>
          <c:marker>
            <c:symbol val="circle"/>
            <c:size val="5"/>
            <c:spPr>
              <a:solidFill>
                <a:schemeClr val="accent3"/>
              </a:solidFill>
              <a:ln w="9525">
                <a:solidFill>
                  <a:schemeClr val="accent3"/>
                </a:solidFill>
              </a:ln>
              <a:effectLst/>
            </c:spPr>
          </c:marker>
          <c:cat>
            <c:numRef>
              <c:f>'Bilag 1'!$E$4:$F$4</c:f>
              <c:numCache>
                <c:formatCode>General</c:formatCode>
                <c:ptCount val="2"/>
                <c:pt idx="0">
                  <c:v>2000</c:v>
                </c:pt>
                <c:pt idx="1">
                  <c:v>2010</c:v>
                </c:pt>
              </c:numCache>
            </c:numRef>
          </c:cat>
          <c:val>
            <c:numRef>
              <c:f>'Bilag 1'!$E$7:$F$7</c:f>
              <c:numCache>
                <c:formatCode>0</c:formatCode>
                <c:ptCount val="2"/>
                <c:pt idx="0">
                  <c:v>138</c:v>
                </c:pt>
                <c:pt idx="1">
                  <c:v>157</c:v>
                </c:pt>
              </c:numCache>
            </c:numRef>
          </c:val>
          <c:smooth val="0"/>
          <c:extLst>
            <c:ext xmlns:c16="http://schemas.microsoft.com/office/drawing/2014/chart" uri="{C3380CC4-5D6E-409C-BE32-E72D297353CC}">
              <c16:uniqueId val="{00000002-DDA0-1744-91A8-92A5F83EAA42}"/>
            </c:ext>
          </c:extLst>
        </c:ser>
        <c:ser>
          <c:idx val="3"/>
          <c:order val="3"/>
          <c:tx>
            <c:strRef>
              <c:f>'Bilag 1'!$D$8</c:f>
              <c:strCache>
                <c:ptCount val="1"/>
                <c:pt idx="0">
                  <c:v>Max</c:v>
                </c:pt>
              </c:strCache>
            </c:strRef>
          </c:tx>
          <c:spPr>
            <a:ln w="28575" cap="rnd">
              <a:noFill/>
              <a:round/>
            </a:ln>
            <a:effectLst/>
          </c:spPr>
          <c:marker>
            <c:symbol val="circle"/>
            <c:size val="5"/>
            <c:spPr>
              <a:solidFill>
                <a:schemeClr val="accent4"/>
              </a:solidFill>
              <a:ln w="9525">
                <a:solidFill>
                  <a:schemeClr val="accent4"/>
                </a:solidFill>
              </a:ln>
              <a:effectLst/>
            </c:spPr>
          </c:marker>
          <c:cat>
            <c:numRef>
              <c:f>'Bilag 1'!$E$4:$F$4</c:f>
              <c:numCache>
                <c:formatCode>General</c:formatCode>
                <c:ptCount val="2"/>
                <c:pt idx="0">
                  <c:v>2000</c:v>
                </c:pt>
                <c:pt idx="1">
                  <c:v>2010</c:v>
                </c:pt>
              </c:numCache>
            </c:numRef>
          </c:cat>
          <c:val>
            <c:numRef>
              <c:f>'Bilag 1'!$E$8:$F$8</c:f>
              <c:numCache>
                <c:formatCode>0</c:formatCode>
                <c:ptCount val="2"/>
                <c:pt idx="0">
                  <c:v>676</c:v>
                </c:pt>
                <c:pt idx="1">
                  <c:v>767</c:v>
                </c:pt>
              </c:numCache>
            </c:numRef>
          </c:val>
          <c:smooth val="0"/>
          <c:extLst>
            <c:ext xmlns:c16="http://schemas.microsoft.com/office/drawing/2014/chart" uri="{C3380CC4-5D6E-409C-BE32-E72D297353CC}">
              <c16:uniqueId val="{00000003-DDA0-1744-91A8-92A5F83EAA42}"/>
            </c:ext>
          </c:extLst>
        </c:ser>
        <c:ser>
          <c:idx val="4"/>
          <c:order val="4"/>
          <c:tx>
            <c:strRef>
              <c:f>'Bilag 1'!$D$9</c:f>
              <c:strCache>
                <c:ptCount val="1"/>
                <c:pt idx="0">
                  <c:v>Øvre</c:v>
                </c:pt>
              </c:strCache>
            </c:strRef>
          </c:tx>
          <c:spPr>
            <a:ln w="28575" cap="rnd">
              <a:noFill/>
              <a:round/>
            </a:ln>
            <a:effectLst/>
          </c:spPr>
          <c:marker>
            <c:symbol val="circle"/>
            <c:size val="5"/>
            <c:spPr>
              <a:solidFill>
                <a:schemeClr val="accent5"/>
              </a:solidFill>
              <a:ln w="9525">
                <a:solidFill>
                  <a:schemeClr val="accent5"/>
                </a:solidFill>
              </a:ln>
              <a:effectLst/>
            </c:spPr>
          </c:marker>
          <c:cat>
            <c:numRef>
              <c:f>'Bilag 1'!$E$4:$F$4</c:f>
              <c:numCache>
                <c:formatCode>General</c:formatCode>
                <c:ptCount val="2"/>
                <c:pt idx="0">
                  <c:v>2000</c:v>
                </c:pt>
                <c:pt idx="1">
                  <c:v>2010</c:v>
                </c:pt>
              </c:numCache>
            </c:numRef>
          </c:cat>
          <c:val>
            <c:numRef>
              <c:f>'Bilag 1'!$E$9:$F$9</c:f>
              <c:numCache>
                <c:formatCode>0</c:formatCode>
                <c:ptCount val="2"/>
                <c:pt idx="0">
                  <c:v>251</c:v>
                </c:pt>
                <c:pt idx="1">
                  <c:v>264</c:v>
                </c:pt>
              </c:numCache>
            </c:numRef>
          </c:val>
          <c:smooth val="0"/>
          <c:extLst>
            <c:ext xmlns:c16="http://schemas.microsoft.com/office/drawing/2014/chart" uri="{C3380CC4-5D6E-409C-BE32-E72D297353CC}">
              <c16:uniqueId val="{00000004-DDA0-1744-91A8-92A5F83EAA42}"/>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upDownBars>
          <c:gapWidth val="219"/>
          <c:upBars>
            <c:spPr>
              <a:solidFill>
                <a:schemeClr val="lt1"/>
              </a:solidFill>
              <a:ln w="9525">
                <a:solidFill>
                  <a:schemeClr val="tx1">
                    <a:lumMod val="15000"/>
                    <a:lumOff val="85000"/>
                  </a:schemeClr>
                </a:solidFill>
              </a:ln>
              <a:effectLst/>
            </c:spPr>
          </c:upBars>
          <c:downBars>
            <c:spPr>
              <a:solidFill>
                <a:schemeClr val="dk1">
                  <a:lumMod val="65000"/>
                  <a:lumOff val="35000"/>
                </a:schemeClr>
              </a:solidFill>
              <a:ln w="9525">
                <a:solidFill>
                  <a:schemeClr val="tx1">
                    <a:lumMod val="65000"/>
                    <a:lumOff val="35000"/>
                  </a:schemeClr>
                </a:solidFill>
              </a:ln>
              <a:effectLst/>
            </c:spPr>
          </c:downBars>
        </c:upDownBars>
        <c:marker val="1"/>
        <c:smooth val="0"/>
        <c:axId val="1557300415"/>
        <c:axId val="1589417343"/>
      </c:lineChart>
      <c:catAx>
        <c:axId val="15573004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9417343"/>
        <c:crosses val="autoZero"/>
        <c:auto val="1"/>
        <c:lblAlgn val="ctr"/>
        <c:lblOffset val="100"/>
        <c:noMultiLvlLbl val="0"/>
      </c:catAx>
      <c:valAx>
        <c:axId val="1589417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Ko-størrelse</a:t>
                </a:r>
              </a:p>
            </c:rich>
          </c:tx>
          <c:layout>
            <c:manualLayout>
              <c:xMode val="edge"/>
              <c:yMode val="edge"/>
              <c:x val="8.3333333333333332E-3"/>
              <c:y val="8.4930373286672495E-2"/>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73004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2.2: Størrelsesuligheden for køer</a:t>
            </a:r>
            <a:r>
              <a:rPr lang="en-GB" baseline="0"/>
              <a:t>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8597823012563753E-2"/>
          <c:y val="9.7801078885239853E-2"/>
          <c:w val="0.79041724071860675"/>
          <c:h val="0.74118650997771007"/>
        </c:manualLayout>
      </c:layout>
      <c:scatterChart>
        <c:scatterStyle val="smoothMarker"/>
        <c:varyColors val="0"/>
        <c:ser>
          <c:idx val="0"/>
          <c:order val="0"/>
          <c:tx>
            <c:v>2000</c:v>
          </c:tx>
          <c:spPr>
            <a:ln w="19050" cap="rnd">
              <a:solidFill>
                <a:schemeClr val="accent1"/>
              </a:solidFill>
              <a:round/>
            </a:ln>
            <a:effectLst/>
          </c:spPr>
          <c:marker>
            <c:symbol val="none"/>
          </c:marker>
          <c:xVal>
            <c:numRef>
              <c:f>'Bilag 1'!$R$2:$R$27</c:f>
              <c:numCache>
                <c:formatCode>General</c:formatCode>
                <c:ptCount val="2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numCache>
            </c:numRef>
          </c:xVal>
          <c:yVal>
            <c:numRef>
              <c:f>'Bilag 1'!$U$2:$U$27</c:f>
              <c:numCache>
                <c:formatCode>0.000</c:formatCode>
                <c:ptCount val="26"/>
                <c:pt idx="0" formatCode="General">
                  <c:v>0</c:v>
                </c:pt>
                <c:pt idx="1">
                  <c:v>4.1303350160624142E-3</c:v>
                </c:pt>
                <c:pt idx="2">
                  <c:v>8.4901330885727398E-3</c:v>
                </c:pt>
                <c:pt idx="3">
                  <c:v>1.3079394217530977E-2</c:v>
                </c:pt>
                <c:pt idx="4">
                  <c:v>1.9963285910968333E-2</c:v>
                </c:pt>
                <c:pt idx="5">
                  <c:v>2.9141808168884811E-2</c:v>
                </c:pt>
                <c:pt idx="6">
                  <c:v>3.8779256539697111E-2</c:v>
                </c:pt>
                <c:pt idx="7">
                  <c:v>5.1629187700780177E-2</c:v>
                </c:pt>
                <c:pt idx="8">
                  <c:v>6.7691601652134004E-2</c:v>
                </c:pt>
                <c:pt idx="9">
                  <c:v>8.6048646167966952E-2</c:v>
                </c:pt>
                <c:pt idx="10">
                  <c:v>0.10899495181275815</c:v>
                </c:pt>
                <c:pt idx="11">
                  <c:v>0.13538320330426801</c:v>
                </c:pt>
                <c:pt idx="12">
                  <c:v>0.16590178981184028</c:v>
                </c:pt>
                <c:pt idx="13">
                  <c:v>0.19756769160165213</c:v>
                </c:pt>
                <c:pt idx="14">
                  <c:v>0.22969251950435979</c:v>
                </c:pt>
                <c:pt idx="15">
                  <c:v>0.26434144102799451</c:v>
                </c:pt>
                <c:pt idx="16">
                  <c:v>0.30266177145479578</c:v>
                </c:pt>
                <c:pt idx="17">
                  <c:v>0.34511243689765947</c:v>
                </c:pt>
                <c:pt idx="18">
                  <c:v>0.39513538320330427</c:v>
                </c:pt>
                <c:pt idx="19">
                  <c:v>0.45273061037173012</c:v>
                </c:pt>
                <c:pt idx="20">
                  <c:v>0.51491509866911422</c:v>
                </c:pt>
                <c:pt idx="21">
                  <c:v>0.58375401560348783</c:v>
                </c:pt>
                <c:pt idx="22">
                  <c:v>0.65626434144102797</c:v>
                </c:pt>
                <c:pt idx="23">
                  <c:v>0.74070674621385957</c:v>
                </c:pt>
                <c:pt idx="24">
                  <c:v>0.84488297384121158</c:v>
                </c:pt>
                <c:pt idx="25">
                  <c:v>1</c:v>
                </c:pt>
              </c:numCache>
            </c:numRef>
          </c:yVal>
          <c:smooth val="1"/>
          <c:extLst>
            <c:ext xmlns:c16="http://schemas.microsoft.com/office/drawing/2014/chart" uri="{C3380CC4-5D6E-409C-BE32-E72D297353CC}">
              <c16:uniqueId val="{00000000-0EC2-3841-A856-0D0B184BA3CD}"/>
            </c:ext>
          </c:extLst>
        </c:ser>
        <c:ser>
          <c:idx val="1"/>
          <c:order val="1"/>
          <c:tx>
            <c:v>2010</c:v>
          </c:tx>
          <c:spPr>
            <a:ln w="19050" cap="rnd">
              <a:solidFill>
                <a:schemeClr val="accent2"/>
              </a:solidFill>
              <a:round/>
            </a:ln>
            <a:effectLst/>
          </c:spPr>
          <c:marker>
            <c:symbol val="none"/>
          </c:marker>
          <c:xVal>
            <c:numRef>
              <c:f>'Bilag 1'!$R$2:$R$27</c:f>
              <c:numCache>
                <c:formatCode>General</c:formatCode>
                <c:ptCount val="2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numCache>
            </c:numRef>
          </c:xVal>
          <c:yVal>
            <c:numRef>
              <c:f>'Bilag 1'!$V$2:$V$27</c:f>
              <c:numCache>
                <c:formatCode>0.000</c:formatCode>
                <c:ptCount val="26"/>
                <c:pt idx="0" formatCode="General">
                  <c:v>0</c:v>
                </c:pt>
                <c:pt idx="1">
                  <c:v>3.7608123354644601E-3</c:v>
                </c:pt>
                <c:pt idx="2">
                  <c:v>8.4618277547950354E-3</c:v>
                </c:pt>
                <c:pt idx="3">
                  <c:v>1.4103046257991726E-2</c:v>
                </c:pt>
                <c:pt idx="4">
                  <c:v>2.1436630312147424E-2</c:v>
                </c:pt>
                <c:pt idx="5">
                  <c:v>3.0274539300488904E-2</c:v>
                </c:pt>
                <c:pt idx="6">
                  <c:v>3.9488529522376831E-2</c:v>
                </c:pt>
                <c:pt idx="7">
                  <c:v>5.0582925911996993E-2</c:v>
                </c:pt>
                <c:pt idx="8">
                  <c:v>6.242948476871004E-2</c:v>
                </c:pt>
                <c:pt idx="9">
                  <c:v>7.8789018427980445E-2</c:v>
                </c:pt>
                <c:pt idx="10">
                  <c:v>9.7593080105302751E-2</c:v>
                </c:pt>
                <c:pt idx="11">
                  <c:v>0.12072207596840917</c:v>
                </c:pt>
                <c:pt idx="12">
                  <c:v>0.14817600601729974</c:v>
                </c:pt>
                <c:pt idx="13">
                  <c:v>0.17769838285069575</c:v>
                </c:pt>
                <c:pt idx="14">
                  <c:v>0.20910116585182401</c:v>
                </c:pt>
                <c:pt idx="15">
                  <c:v>0.24238435502068448</c:v>
                </c:pt>
                <c:pt idx="16">
                  <c:v>0.27735990974050395</c:v>
                </c:pt>
                <c:pt idx="17">
                  <c:v>0.3145919518616021</c:v>
                </c:pt>
                <c:pt idx="18">
                  <c:v>0.35802933433621664</c:v>
                </c:pt>
                <c:pt idx="19">
                  <c:v>0.40767205716434751</c:v>
                </c:pt>
                <c:pt idx="20">
                  <c:v>0.46163971417826249</c:v>
                </c:pt>
                <c:pt idx="21">
                  <c:v>0.53666792027077848</c:v>
                </c:pt>
                <c:pt idx="22">
                  <c:v>0.6237307258367808</c:v>
                </c:pt>
                <c:pt idx="23">
                  <c:v>0.72583678074464086</c:v>
                </c:pt>
                <c:pt idx="24">
                  <c:v>0.85577284693493794</c:v>
                </c:pt>
                <c:pt idx="25">
                  <c:v>1</c:v>
                </c:pt>
              </c:numCache>
            </c:numRef>
          </c:yVal>
          <c:smooth val="1"/>
          <c:extLst>
            <c:ext xmlns:c16="http://schemas.microsoft.com/office/drawing/2014/chart" uri="{C3380CC4-5D6E-409C-BE32-E72D297353CC}">
              <c16:uniqueId val="{00000001-0EC2-3841-A856-0D0B184BA3CD}"/>
            </c:ext>
          </c:extLst>
        </c:ser>
        <c:ser>
          <c:idx val="2"/>
          <c:order val="2"/>
          <c:tx>
            <c:v>45</c:v>
          </c:tx>
          <c:spPr>
            <a:ln w="19050" cap="rnd">
              <a:solidFill>
                <a:schemeClr val="accent3"/>
              </a:solidFill>
              <a:round/>
            </a:ln>
            <a:effectLst/>
          </c:spPr>
          <c:marker>
            <c:symbol val="none"/>
          </c:marker>
          <c:xVal>
            <c:numRef>
              <c:f>'Bilag 1'!$R$2:$R$27</c:f>
              <c:numCache>
                <c:formatCode>General</c:formatCode>
                <c:ptCount val="2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numCache>
            </c:numRef>
          </c:xVal>
          <c:yVal>
            <c:numRef>
              <c:f>'Bilag 1'!$R$2:$R$27</c:f>
              <c:numCache>
                <c:formatCode>General</c:formatCode>
                <c:ptCount val="2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numCache>
            </c:numRef>
          </c:yVal>
          <c:smooth val="1"/>
          <c:extLst>
            <c:ext xmlns:c16="http://schemas.microsoft.com/office/drawing/2014/chart" uri="{C3380CC4-5D6E-409C-BE32-E72D297353CC}">
              <c16:uniqueId val="{00000002-0EC2-3841-A856-0D0B184BA3CD}"/>
            </c:ext>
          </c:extLst>
        </c:ser>
        <c:dLbls>
          <c:showLegendKey val="0"/>
          <c:showVal val="0"/>
          <c:showCatName val="0"/>
          <c:showSerName val="0"/>
          <c:showPercent val="0"/>
          <c:showBubbleSize val="0"/>
        </c:dLbls>
        <c:axId val="1588817615"/>
        <c:axId val="1589088319"/>
      </c:scatterChart>
      <c:valAx>
        <c:axId val="1588817615"/>
        <c:scaling>
          <c:orientation val="minMax"/>
          <c:max val="1"/>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9088319"/>
        <c:crosses val="autoZero"/>
        <c:crossBetween val="midCat"/>
      </c:valAx>
      <c:valAx>
        <c:axId val="1589088319"/>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8817615"/>
        <c:crosses val="autoZero"/>
        <c:crossBetween val="midCat"/>
      </c:valAx>
      <c:spPr>
        <a:noFill/>
        <a:ln>
          <a:noFill/>
        </a:ln>
        <a:effectLst/>
      </c:spPr>
    </c:plotArea>
    <c:legend>
      <c:legendPos val="r"/>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Figur 3.1:</a:t>
            </a:r>
            <a:r>
              <a:rPr lang="en-GB" baseline="0"/>
              <a:t> Realudviklingen i husholdningernes forbrug</a:t>
            </a:r>
            <a:endParaRPr lang="en-GB"/>
          </a:p>
        </c:rich>
      </c:tx>
      <c:layout>
        <c:manualLayout>
          <c:xMode val="edge"/>
          <c:yMode val="edge"/>
          <c:x val="4.767370336376664E-2"/>
          <c:y val="2.443991853360488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3914186662851498E-2"/>
          <c:y val="0.15105922350337572"/>
          <c:w val="0.61620480466753091"/>
          <c:h val="0.66810558557980659"/>
        </c:manualLayout>
      </c:layout>
      <c:barChart>
        <c:barDir val="col"/>
        <c:grouping val="clustered"/>
        <c:varyColors val="0"/>
        <c:ser>
          <c:idx val="0"/>
          <c:order val="0"/>
          <c:tx>
            <c:strRef>
              <c:f>'Bilag 1'!$B$61</c:f>
              <c:strCache>
                <c:ptCount val="1"/>
                <c:pt idx="0">
                  <c:v>Relativ ændring</c:v>
                </c:pt>
              </c:strCache>
            </c:strRef>
          </c:tx>
          <c:spPr>
            <a:solidFill>
              <a:schemeClr val="accent6"/>
            </a:solidFill>
            <a:ln>
              <a:noFill/>
            </a:ln>
            <a:effectLst/>
          </c:spPr>
          <c:invertIfNegative val="0"/>
          <c:cat>
            <c:strRef>
              <c:f>'Bilag 1'!$C$57:$L$57</c:f>
              <c:strCache>
                <c:ptCount val="10"/>
                <c:pt idx="0">
                  <c:v>2010</c:v>
                </c:pt>
                <c:pt idx="1">
                  <c:v>2011</c:v>
                </c:pt>
                <c:pt idx="2">
                  <c:v>2012</c:v>
                </c:pt>
                <c:pt idx="3">
                  <c:v>2013</c:v>
                </c:pt>
                <c:pt idx="4">
                  <c:v>2014</c:v>
                </c:pt>
                <c:pt idx="5">
                  <c:v>2015</c:v>
                </c:pt>
                <c:pt idx="6">
                  <c:v>2016</c:v>
                </c:pt>
                <c:pt idx="7">
                  <c:v>2017*</c:v>
                </c:pt>
                <c:pt idx="8">
                  <c:v>2018*</c:v>
                </c:pt>
                <c:pt idx="9">
                  <c:v>2019*</c:v>
                </c:pt>
              </c:strCache>
            </c:strRef>
          </c:cat>
          <c:val>
            <c:numRef>
              <c:f>'Bilag 1'!$C$61:$L$61</c:f>
              <c:numCache>
                <c:formatCode>0.0%</c:formatCode>
                <c:ptCount val="10"/>
                <c:pt idx="0">
                  <c:v>7.8316773816480278E-3</c:v>
                </c:pt>
                <c:pt idx="1">
                  <c:v>2.7835768963118124E-3</c:v>
                </c:pt>
                <c:pt idx="2">
                  <c:v>5.0890585241729624E-3</c:v>
                </c:pt>
                <c:pt idx="3">
                  <c:v>2.7617951668585938E-3</c:v>
                </c:pt>
                <c:pt idx="4">
                  <c:v>9.1806288730775787E-3</c:v>
                </c:pt>
                <c:pt idx="5">
                  <c:v>2.2742779167614247E-2</c:v>
                </c:pt>
                <c:pt idx="6">
                  <c:v>2.4238381142984267E-2</c:v>
                </c:pt>
                <c:pt idx="7">
                  <c:v>1.5957446808510634E-2</c:v>
                </c:pt>
                <c:pt idx="8">
                  <c:v>2.649855753819863E-2</c:v>
                </c:pt>
                <c:pt idx="9">
                  <c:v>2.2171333402727145E-2</c:v>
                </c:pt>
              </c:numCache>
            </c:numRef>
          </c:val>
          <c:extLst>
            <c:ext xmlns:c16="http://schemas.microsoft.com/office/drawing/2014/chart" uri="{C3380CC4-5D6E-409C-BE32-E72D297353CC}">
              <c16:uniqueId val="{00000000-E29C-2C48-BAB5-0D4B22CB00D5}"/>
            </c:ext>
          </c:extLst>
        </c:ser>
        <c:dLbls>
          <c:showLegendKey val="0"/>
          <c:showVal val="0"/>
          <c:showCatName val="0"/>
          <c:showSerName val="0"/>
          <c:showPercent val="0"/>
          <c:showBubbleSize val="0"/>
        </c:dLbls>
        <c:gapWidth val="150"/>
        <c:axId val="1588893647"/>
        <c:axId val="1572892495"/>
      </c:barChart>
      <c:lineChart>
        <c:grouping val="standard"/>
        <c:varyColors val="0"/>
        <c:ser>
          <c:idx val="1"/>
          <c:order val="1"/>
          <c:tx>
            <c:strRef>
              <c:f>'Bilag 1'!$A$60</c:f>
              <c:strCache>
                <c:ptCount val="1"/>
                <c:pt idx="0">
                  <c:v>Husholdning+NPISH</c:v>
                </c:pt>
              </c:strCache>
            </c:strRef>
          </c:tx>
          <c:spPr>
            <a:ln w="28575" cap="rnd">
              <a:solidFill>
                <a:srgbClr val="00B050"/>
              </a:solidFill>
              <a:round/>
            </a:ln>
            <a:effectLst/>
          </c:spPr>
          <c:marker>
            <c:symbol val="none"/>
          </c:marker>
          <c:val>
            <c:numRef>
              <c:f>'Bilag 1'!$C$60:$L$60</c:f>
              <c:numCache>
                <c:formatCode>General</c:formatCode>
                <c:ptCount val="10"/>
                <c:pt idx="0">
                  <c:v>862.19999999999993</c:v>
                </c:pt>
                <c:pt idx="1">
                  <c:v>864.6</c:v>
                </c:pt>
                <c:pt idx="2">
                  <c:v>869</c:v>
                </c:pt>
                <c:pt idx="3">
                  <c:v>871.40000000000009</c:v>
                </c:pt>
                <c:pt idx="4">
                  <c:v>879.4</c:v>
                </c:pt>
                <c:pt idx="5">
                  <c:v>899.4</c:v>
                </c:pt>
                <c:pt idx="6">
                  <c:v>921.2</c:v>
                </c:pt>
                <c:pt idx="7">
                  <c:v>935.9</c:v>
                </c:pt>
                <c:pt idx="8">
                  <c:v>960.7</c:v>
                </c:pt>
                <c:pt idx="9">
                  <c:v>982</c:v>
                </c:pt>
              </c:numCache>
            </c:numRef>
          </c:val>
          <c:smooth val="0"/>
          <c:extLst>
            <c:ext xmlns:c16="http://schemas.microsoft.com/office/drawing/2014/chart" uri="{C3380CC4-5D6E-409C-BE32-E72D297353CC}">
              <c16:uniqueId val="{00000001-E29C-2C48-BAB5-0D4B22CB00D5}"/>
            </c:ext>
          </c:extLst>
        </c:ser>
        <c:ser>
          <c:idx val="2"/>
          <c:order val="2"/>
          <c:tx>
            <c:v>Gns. årlig vækst</c:v>
          </c:tx>
          <c:spPr>
            <a:ln w="28575" cap="rnd">
              <a:solidFill>
                <a:schemeClr val="accent3"/>
              </a:solidFill>
              <a:round/>
            </a:ln>
            <a:effectLst/>
          </c:spPr>
          <c:marker>
            <c:symbol val="none"/>
          </c:marker>
          <c:val>
            <c:numRef>
              <c:f>'Bilag 1'!$C$62:$L$62</c:f>
              <c:numCache>
                <c:formatCode>0.0</c:formatCode>
                <c:ptCount val="10"/>
                <c:pt idx="0">
                  <c:v>1.3886049365110509</c:v>
                </c:pt>
                <c:pt idx="1">
                  <c:v>1.3886049365110509</c:v>
                </c:pt>
                <c:pt idx="2">
                  <c:v>1.3886049365110509</c:v>
                </c:pt>
                <c:pt idx="3">
                  <c:v>1.3886049365110509</c:v>
                </c:pt>
                <c:pt idx="4">
                  <c:v>1.3886049365110509</c:v>
                </c:pt>
                <c:pt idx="5">
                  <c:v>1.3886049365110509</c:v>
                </c:pt>
                <c:pt idx="6">
                  <c:v>1.3886049365110509</c:v>
                </c:pt>
                <c:pt idx="7">
                  <c:v>1.3886049365110509</c:v>
                </c:pt>
                <c:pt idx="8">
                  <c:v>1.3886049365110509</c:v>
                </c:pt>
                <c:pt idx="9">
                  <c:v>1.3886049365110509</c:v>
                </c:pt>
              </c:numCache>
            </c:numRef>
          </c:val>
          <c:smooth val="0"/>
          <c:extLst>
            <c:ext xmlns:c16="http://schemas.microsoft.com/office/drawing/2014/chart" uri="{C3380CC4-5D6E-409C-BE32-E72D297353CC}">
              <c16:uniqueId val="{00000002-E29C-2C48-BAB5-0D4B22CB00D5}"/>
            </c:ext>
          </c:extLst>
        </c:ser>
        <c:dLbls>
          <c:showLegendKey val="0"/>
          <c:showVal val="0"/>
          <c:showCatName val="0"/>
          <c:showSerName val="0"/>
          <c:showPercent val="0"/>
          <c:showBubbleSize val="0"/>
        </c:dLbls>
        <c:marker val="1"/>
        <c:smooth val="0"/>
        <c:axId val="1571173215"/>
        <c:axId val="1571210783"/>
      </c:lineChart>
      <c:catAx>
        <c:axId val="15888936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800" i="1"/>
                  <a:t>Anm:</a:t>
                </a:r>
                <a:r>
                  <a:rPr lang="en-GB" sz="800" i="1" baseline="0"/>
                  <a:t> De sidste tre år(2017-2019) er stadig under revision.</a:t>
                </a:r>
              </a:p>
              <a:p>
                <a:pPr>
                  <a:defRPr/>
                </a:pPr>
                <a:r>
                  <a:rPr lang="en-GB" sz="800" i="1" baseline="0"/>
                  <a:t>Kilde: STO side 105</a:t>
                </a:r>
                <a:endParaRPr lang="en-GB" sz="800" i="1"/>
              </a:p>
            </c:rich>
          </c:tx>
          <c:layout>
            <c:manualLayout>
              <c:xMode val="edge"/>
              <c:yMode val="edge"/>
              <c:x val="0.32515337423312884"/>
              <c:y val="0.893258495437561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2892495"/>
        <c:crosses val="autoZero"/>
        <c:auto val="1"/>
        <c:lblAlgn val="ctr"/>
        <c:lblOffset val="100"/>
        <c:noMultiLvlLbl val="0"/>
      </c:catAx>
      <c:valAx>
        <c:axId val="1572892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900"/>
                  <a:t>Målt i mia.</a:t>
                </a:r>
                <a:r>
                  <a:rPr lang="en-GB" sz="900" baseline="0"/>
                  <a:t> kroner</a:t>
                </a:r>
                <a:endParaRPr lang="en-GB" sz="900"/>
              </a:p>
            </c:rich>
          </c:tx>
          <c:layout>
            <c:manualLayout>
              <c:xMode val="edge"/>
              <c:yMode val="edge"/>
              <c:x val="0.75887192031419293"/>
              <c:y val="0.10351332986929933"/>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8893647"/>
        <c:crosses val="autoZero"/>
        <c:crossBetween val="between"/>
      </c:valAx>
      <c:valAx>
        <c:axId val="1571210783"/>
        <c:scaling>
          <c:orientation val="minMax"/>
          <c:min val="850"/>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1173215"/>
        <c:crosses val="max"/>
        <c:crossBetween val="between"/>
      </c:valAx>
      <c:catAx>
        <c:axId val="1571173215"/>
        <c:scaling>
          <c:orientation val="minMax"/>
        </c:scaling>
        <c:delete val="1"/>
        <c:axPos val="b"/>
        <c:majorTickMark val="out"/>
        <c:minorTickMark val="none"/>
        <c:tickLblPos val="nextTo"/>
        <c:crossAx val="1571210783"/>
        <c:crosses val="autoZero"/>
        <c:auto val="1"/>
        <c:lblAlgn val="ctr"/>
        <c:lblOffset val="100"/>
        <c:noMultiLvlLbl val="0"/>
      </c:cat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0.02778</cdr:x>
      <cdr:y>0.84722</cdr:y>
    </cdr:from>
    <cdr:to>
      <cdr:x>0.56944</cdr:x>
      <cdr:y>1</cdr:y>
    </cdr:to>
    <cdr:sp macro="" textlink="">
      <cdr:nvSpPr>
        <cdr:cNvPr id="2" name="TextBox 1">
          <a:extLst xmlns:a="http://schemas.openxmlformats.org/drawingml/2006/main">
            <a:ext uri="{FF2B5EF4-FFF2-40B4-BE49-F238E27FC236}">
              <a16:creationId xmlns:a16="http://schemas.microsoft.com/office/drawing/2014/main" id="{DC6883D1-14B0-B94B-8664-72DC0E34E8AC}"/>
            </a:ext>
          </a:extLst>
        </cdr:cNvPr>
        <cdr:cNvSpPr txBox="1"/>
      </cdr:nvSpPr>
      <cdr:spPr>
        <a:xfrm xmlns:a="http://schemas.openxmlformats.org/drawingml/2006/main">
          <a:off x="127000" y="2324100"/>
          <a:ext cx="2476500" cy="4191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800" i="1"/>
            <a:t>Anm:</a:t>
          </a:r>
          <a:br>
            <a:rPr lang="en-GB" sz="800" i="1"/>
          </a:br>
          <a:r>
            <a:rPr lang="en-GB" sz="800" i="1"/>
            <a:t>Kilde:</a:t>
          </a:r>
          <a:r>
            <a:rPr lang="en-GB" sz="800" i="1" baseline="0"/>
            <a:t> Kaspers/Jakobs/Hjarns data</a:t>
          </a:r>
          <a:endParaRPr lang="en-GB" sz="800" i="1"/>
        </a:p>
      </cdr:txBody>
    </cdr:sp>
  </cdr:relSizeAnchor>
</c:userShapes>
</file>

<file path=word/drawings/drawing2.xml><?xml version="1.0" encoding="utf-8"?>
<c:userShapes xmlns:c="http://schemas.openxmlformats.org/drawingml/2006/chart">
  <cdr:relSizeAnchor xmlns:cdr="http://schemas.openxmlformats.org/drawingml/2006/chartDrawing">
    <cdr:from>
      <cdr:x>0.07764</cdr:x>
      <cdr:y>0.88119</cdr:y>
    </cdr:from>
    <cdr:to>
      <cdr:x>0.30243</cdr:x>
      <cdr:y>0.97624</cdr:y>
    </cdr:to>
    <cdr:sp macro="" textlink="">
      <cdr:nvSpPr>
        <cdr:cNvPr id="2" name="TextBox 1">
          <a:extLst xmlns:a="http://schemas.openxmlformats.org/drawingml/2006/main">
            <a:ext uri="{FF2B5EF4-FFF2-40B4-BE49-F238E27FC236}">
              <a16:creationId xmlns:a16="http://schemas.microsoft.com/office/drawing/2014/main" id="{6DB61971-F138-9D46-9779-54E45455A148}"/>
            </a:ext>
          </a:extLst>
        </cdr:cNvPr>
        <cdr:cNvSpPr txBox="1"/>
      </cdr:nvSpPr>
      <cdr:spPr>
        <a:xfrm xmlns:a="http://schemas.openxmlformats.org/drawingml/2006/main">
          <a:off x="425450" y="2825750"/>
          <a:ext cx="1231900" cy="3048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GB" sz="1100"/>
        </a:p>
      </cdr:txBody>
    </cdr:sp>
  </cdr:relSizeAnchor>
  <cdr:relSizeAnchor xmlns:cdr="http://schemas.openxmlformats.org/drawingml/2006/chartDrawing">
    <cdr:from>
      <cdr:x>0.03824</cdr:x>
      <cdr:y>0.88945</cdr:y>
    </cdr:from>
    <cdr:to>
      <cdr:x>0.45539</cdr:x>
      <cdr:y>1</cdr:y>
    </cdr:to>
    <cdr:sp macro="" textlink="">
      <cdr:nvSpPr>
        <cdr:cNvPr id="3" name="TextBox 2">
          <a:extLst xmlns:a="http://schemas.openxmlformats.org/drawingml/2006/main">
            <a:ext uri="{FF2B5EF4-FFF2-40B4-BE49-F238E27FC236}">
              <a16:creationId xmlns:a16="http://schemas.microsoft.com/office/drawing/2014/main" id="{87D351EB-668A-FB40-8AD3-83B8E1F307B5}"/>
            </a:ext>
          </a:extLst>
        </cdr:cNvPr>
        <cdr:cNvSpPr txBox="1"/>
      </cdr:nvSpPr>
      <cdr:spPr>
        <a:xfrm xmlns:a="http://schemas.openxmlformats.org/drawingml/2006/main">
          <a:off x="209550" y="3371850"/>
          <a:ext cx="2286000" cy="4191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800" i="1"/>
            <a:t>Anm:</a:t>
          </a:r>
          <a:br>
            <a:rPr lang="en-GB" sz="800" i="1"/>
          </a:br>
          <a:r>
            <a:rPr lang="en-GB" sz="800" i="1"/>
            <a:t>Kilde:Jakobs/Hjarns/Kaaspers</a:t>
          </a:r>
          <a:r>
            <a:rPr lang="en-GB" sz="800" i="1" baseline="0"/>
            <a:t> data</a:t>
          </a:r>
          <a:endParaRPr lang="en-GB" sz="800" i="1"/>
        </a:p>
      </cdr:txBody>
    </cdr:sp>
  </cdr:relSizeAnchor>
</c:userShapes>
</file>

<file path=word/drawings/drawing3.xml><?xml version="1.0" encoding="utf-8"?>
<c:userShapes xmlns:c="http://schemas.openxmlformats.org/drawingml/2006/chart">
  <cdr:relSizeAnchor xmlns:cdr="http://schemas.openxmlformats.org/drawingml/2006/chartDrawing">
    <cdr:from>
      <cdr:x>0.08642</cdr:x>
      <cdr:y>0.51935</cdr:y>
    </cdr:from>
    <cdr:to>
      <cdr:x>0.67583</cdr:x>
      <cdr:y>0.51935</cdr:y>
    </cdr:to>
    <cdr:cxnSp macro="">
      <cdr:nvCxnSpPr>
        <cdr:cNvPr id="3" name="Straight Connector 2">
          <a:extLst xmlns:a="http://schemas.openxmlformats.org/drawingml/2006/main">
            <a:ext uri="{FF2B5EF4-FFF2-40B4-BE49-F238E27FC236}">
              <a16:creationId xmlns:a16="http://schemas.microsoft.com/office/drawing/2014/main" id="{F470F2C4-F13E-5E4F-9408-C617993CE357}"/>
            </a:ext>
          </a:extLst>
        </cdr:cNvPr>
        <cdr:cNvCxnSpPr/>
      </cdr:nvCxnSpPr>
      <cdr:spPr>
        <a:xfrm xmlns:a="http://schemas.openxmlformats.org/drawingml/2006/main">
          <a:off x="495300" y="1494266"/>
          <a:ext cx="3378200" cy="1"/>
        </a:xfrm>
        <a:prstGeom xmlns:a="http://schemas.openxmlformats.org/drawingml/2006/main" prst="line">
          <a:avLst/>
        </a:prstGeom>
      </cdr:spPr>
      <cdr:style>
        <a:lnRef xmlns:a="http://schemas.openxmlformats.org/drawingml/2006/main" idx="2">
          <a:schemeClr val="accent3"/>
        </a:lnRef>
        <a:fillRef xmlns:a="http://schemas.openxmlformats.org/drawingml/2006/main" idx="0">
          <a:schemeClr val="accent3"/>
        </a:fillRef>
        <a:effectRef xmlns:a="http://schemas.openxmlformats.org/drawingml/2006/main" idx="1">
          <a:schemeClr val="accent3"/>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8</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7</cp:revision>
  <dcterms:created xsi:type="dcterms:W3CDTF">2020-11-28T08:01:00Z</dcterms:created>
  <dcterms:modified xsi:type="dcterms:W3CDTF">2020-12-03T08:21:00Z</dcterms:modified>
</cp:coreProperties>
</file>