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52AD" w:rsidRDefault="007552AD" w:rsidP="00941B2E">
      <w:pPr>
        <w:spacing w:line="360" w:lineRule="auto"/>
        <w:rPr>
          <w:sz w:val="32"/>
          <w:szCs w:val="32"/>
          <w:lang w:val="da-DK"/>
        </w:rPr>
      </w:pPr>
      <w:r>
        <w:rPr>
          <w:sz w:val="32"/>
          <w:szCs w:val="32"/>
          <w:lang w:val="da-DK"/>
        </w:rPr>
        <w:t xml:space="preserve">Spørgsmål 1. </w:t>
      </w:r>
    </w:p>
    <w:p w:rsidR="007552AD" w:rsidRDefault="007552AD" w:rsidP="00941B2E">
      <w:pPr>
        <w:spacing w:line="360" w:lineRule="auto"/>
        <w:rPr>
          <w:sz w:val="32"/>
          <w:szCs w:val="32"/>
          <w:lang w:val="da-DK"/>
        </w:rPr>
      </w:pPr>
    </w:p>
    <w:p w:rsidR="007552AD" w:rsidRDefault="007552AD" w:rsidP="00941B2E">
      <w:pPr>
        <w:pStyle w:val="ListParagraph"/>
        <w:numPr>
          <w:ilvl w:val="0"/>
          <w:numId w:val="1"/>
        </w:numPr>
        <w:spacing w:line="360" w:lineRule="auto"/>
        <w:rPr>
          <w:sz w:val="22"/>
          <w:szCs w:val="22"/>
          <w:lang w:val="da-DK"/>
        </w:rPr>
      </w:pPr>
    </w:p>
    <w:p w:rsidR="007552AD" w:rsidRPr="00941B2E" w:rsidRDefault="003F2A17" w:rsidP="00941B2E">
      <w:pPr>
        <w:spacing w:line="360" w:lineRule="auto"/>
        <w:rPr>
          <w:rFonts w:eastAsiaTheme="minorEastAsia"/>
          <w:sz w:val="22"/>
          <w:szCs w:val="22"/>
          <w:lang w:val="da-DK"/>
        </w:rPr>
      </w:pPr>
      <m:oMathPara>
        <m:oMath>
          <m:sSup>
            <m:sSupPr>
              <m:ctrlPr>
                <w:rPr>
                  <w:rFonts w:ascii="Cambria Math" w:hAnsi="Cambria Math"/>
                  <w:i/>
                  <w:sz w:val="22"/>
                  <w:szCs w:val="22"/>
                  <w:lang w:val="da-DK"/>
                </w:rPr>
              </m:ctrlPr>
            </m:sSupPr>
            <m:e>
              <m:r>
                <w:rPr>
                  <w:rFonts w:ascii="Cambria Math" w:hAnsi="Cambria Math"/>
                  <w:sz w:val="22"/>
                  <w:szCs w:val="22"/>
                  <w:lang w:val="da-DK"/>
                </w:rPr>
                <m:t>(</m:t>
              </m:r>
              <m:d>
                <m:dPr>
                  <m:ctrlPr>
                    <w:rPr>
                      <w:rFonts w:ascii="Cambria Math" w:hAnsi="Cambria Math"/>
                      <w:i/>
                      <w:sz w:val="22"/>
                      <w:szCs w:val="22"/>
                      <w:lang w:val="da-DK"/>
                    </w:rPr>
                  </m:ctrlPr>
                </m:dPr>
                <m:e>
                  <m:f>
                    <m:fPr>
                      <m:ctrlPr>
                        <w:rPr>
                          <w:rFonts w:ascii="Cambria Math" w:hAnsi="Cambria Math"/>
                          <w:i/>
                          <w:sz w:val="22"/>
                          <w:szCs w:val="22"/>
                          <w:lang w:val="da-DK"/>
                        </w:rPr>
                      </m:ctrlPr>
                    </m:fPr>
                    <m:num>
                      <m:r>
                        <w:rPr>
                          <w:rFonts w:ascii="Cambria Math" w:hAnsi="Cambria Math"/>
                          <w:sz w:val="22"/>
                          <w:szCs w:val="22"/>
                          <w:lang w:val="da-DK"/>
                        </w:rPr>
                        <m:t>2034</m:t>
                      </m:r>
                    </m:num>
                    <m:den>
                      <m:r>
                        <w:rPr>
                          <w:rFonts w:ascii="Cambria Math" w:hAnsi="Cambria Math"/>
                          <w:sz w:val="22"/>
                          <w:szCs w:val="22"/>
                          <w:lang w:val="da-DK"/>
                        </w:rPr>
                        <m:t>1810,9</m:t>
                      </m:r>
                    </m:den>
                  </m:f>
                </m:e>
              </m:d>
            </m:e>
            <m:sup>
              <m:f>
                <m:fPr>
                  <m:ctrlPr>
                    <w:rPr>
                      <w:rFonts w:ascii="Cambria Math" w:hAnsi="Cambria Math"/>
                      <w:i/>
                      <w:sz w:val="22"/>
                      <w:szCs w:val="22"/>
                      <w:lang w:val="da-DK"/>
                    </w:rPr>
                  </m:ctrlPr>
                </m:fPr>
                <m:num>
                  <m:r>
                    <w:rPr>
                      <w:rFonts w:ascii="Cambria Math" w:hAnsi="Cambria Math"/>
                      <w:sz w:val="22"/>
                      <w:szCs w:val="22"/>
                      <w:lang w:val="da-DK"/>
                    </w:rPr>
                    <m:t>1</m:t>
                  </m:r>
                </m:num>
                <m:den>
                  <m:r>
                    <w:rPr>
                      <w:rFonts w:ascii="Cambria Math" w:hAnsi="Cambria Math"/>
                      <w:sz w:val="22"/>
                      <w:szCs w:val="22"/>
                      <w:lang w:val="da-DK"/>
                    </w:rPr>
                    <m:t>7</m:t>
                  </m:r>
                </m:den>
              </m:f>
            </m:sup>
          </m:sSup>
          <m:r>
            <w:rPr>
              <w:rFonts w:ascii="Cambria Math" w:hAnsi="Cambria Math"/>
              <w:sz w:val="22"/>
              <w:szCs w:val="22"/>
              <w:lang w:val="da-DK"/>
            </w:rPr>
            <m:t>-1)·100=1,</m:t>
          </m:r>
          <m:r>
            <w:rPr>
              <w:rFonts w:ascii="Cambria Math" w:hAnsi="Cambria Math"/>
              <w:sz w:val="22"/>
              <w:szCs w:val="22"/>
              <w:lang w:val="da-DK"/>
            </w:rPr>
            <m:t>67</m:t>
          </m:r>
          <m:r>
            <w:rPr>
              <w:rFonts w:ascii="Cambria Math" w:hAnsi="Cambria Math"/>
              <w:sz w:val="22"/>
              <w:szCs w:val="22"/>
              <w:lang w:val="da-DK"/>
            </w:rPr>
            <m:t xml:space="preserve"> procent pro anno</m:t>
          </m:r>
        </m:oMath>
      </m:oMathPara>
    </w:p>
    <w:p w:rsidR="00941B2E" w:rsidRPr="007552AD" w:rsidRDefault="00941B2E" w:rsidP="00941B2E">
      <w:pPr>
        <w:spacing w:line="360" w:lineRule="auto"/>
        <w:rPr>
          <w:rFonts w:eastAsiaTheme="minorEastAsia"/>
          <w:sz w:val="22"/>
          <w:szCs w:val="22"/>
          <w:lang w:val="da-DK"/>
        </w:rPr>
      </w:pPr>
      <w:bookmarkStart w:id="0" w:name="OLE_LINK1"/>
      <w:r>
        <w:rPr>
          <w:rFonts w:eastAsiaTheme="minorEastAsia"/>
          <w:sz w:val="22"/>
          <w:szCs w:val="22"/>
          <w:lang w:val="da-DK"/>
        </w:rPr>
        <w:t>STO 2020 s. 105</w:t>
      </w:r>
    </w:p>
    <w:bookmarkEnd w:id="0"/>
    <w:p w:rsidR="007552AD" w:rsidRDefault="007552AD" w:rsidP="00941B2E">
      <w:pPr>
        <w:pStyle w:val="ListParagraph"/>
        <w:numPr>
          <w:ilvl w:val="0"/>
          <w:numId w:val="1"/>
        </w:numPr>
        <w:spacing w:line="360" w:lineRule="auto"/>
        <w:rPr>
          <w:sz w:val="22"/>
          <w:szCs w:val="22"/>
          <w:lang w:val="da-DK"/>
        </w:rPr>
      </w:pPr>
    </w:p>
    <w:p w:rsidR="007552AD" w:rsidRPr="00941B2E" w:rsidRDefault="003F2A17" w:rsidP="00941B2E">
      <w:pPr>
        <w:spacing w:line="360" w:lineRule="auto"/>
        <w:rPr>
          <w:rFonts w:eastAsiaTheme="minorEastAsia"/>
          <w:sz w:val="22"/>
          <w:szCs w:val="22"/>
          <w:lang w:val="da-DK"/>
        </w:rPr>
      </w:pPr>
      <m:oMathPara>
        <m:oMath>
          <m:d>
            <m:dPr>
              <m:ctrlPr>
                <w:rPr>
                  <w:rFonts w:ascii="Cambria Math" w:hAnsi="Cambria Math"/>
                  <w:i/>
                  <w:sz w:val="22"/>
                  <w:szCs w:val="22"/>
                  <w:lang w:val="da-DK"/>
                </w:rPr>
              </m:ctrlPr>
            </m:dPr>
            <m:e>
              <m:f>
                <m:fPr>
                  <m:ctrlPr>
                    <w:rPr>
                      <w:rFonts w:ascii="Cambria Math" w:hAnsi="Cambria Math"/>
                      <w:i/>
                      <w:sz w:val="22"/>
                      <w:szCs w:val="22"/>
                      <w:lang w:val="da-DK"/>
                    </w:rPr>
                  </m:ctrlPr>
                </m:fPr>
                <m:num>
                  <m:d>
                    <m:dPr>
                      <m:ctrlPr>
                        <w:rPr>
                          <w:rFonts w:ascii="Cambria Math" w:hAnsi="Cambria Math"/>
                          <w:i/>
                          <w:sz w:val="22"/>
                          <w:szCs w:val="22"/>
                          <w:lang w:val="da-DK"/>
                        </w:rPr>
                      </m:ctrlPr>
                    </m:dPr>
                    <m:e>
                      <m:f>
                        <m:fPr>
                          <m:ctrlPr>
                            <w:rPr>
                              <w:rFonts w:ascii="Cambria Math" w:hAnsi="Cambria Math"/>
                              <w:i/>
                              <w:sz w:val="22"/>
                              <w:szCs w:val="22"/>
                              <w:lang w:val="da-DK"/>
                            </w:rPr>
                          </m:ctrlPr>
                        </m:fPr>
                        <m:num>
                          <m:r>
                            <w:rPr>
                              <w:rFonts w:ascii="Cambria Math" w:hAnsi="Cambria Math"/>
                              <w:sz w:val="22"/>
                              <w:szCs w:val="22"/>
                              <w:lang w:val="da-DK"/>
                            </w:rPr>
                            <m:t>968,3</m:t>
                          </m:r>
                        </m:num>
                        <m:den>
                          <m:r>
                            <w:rPr>
                              <w:rFonts w:ascii="Cambria Math" w:hAnsi="Cambria Math"/>
                              <w:sz w:val="22"/>
                              <w:szCs w:val="22"/>
                              <w:lang w:val="da-DK"/>
                            </w:rPr>
                            <m:t>664,5</m:t>
                          </m:r>
                        </m:den>
                      </m:f>
                    </m:e>
                  </m:d>
                </m:num>
                <m:den>
                  <m:d>
                    <m:dPr>
                      <m:ctrlPr>
                        <w:rPr>
                          <w:rFonts w:ascii="Cambria Math" w:hAnsi="Cambria Math"/>
                          <w:i/>
                          <w:sz w:val="22"/>
                          <w:szCs w:val="22"/>
                          <w:lang w:val="da-DK"/>
                        </w:rPr>
                      </m:ctrlPr>
                    </m:dPr>
                    <m:e>
                      <m:f>
                        <m:fPr>
                          <m:ctrlPr>
                            <w:rPr>
                              <w:rFonts w:ascii="Cambria Math" w:hAnsi="Cambria Math"/>
                              <w:i/>
                              <w:sz w:val="22"/>
                              <w:szCs w:val="22"/>
                              <w:lang w:val="da-DK"/>
                            </w:rPr>
                          </m:ctrlPr>
                        </m:fPr>
                        <m:num>
                          <m:r>
                            <w:rPr>
                              <w:rFonts w:ascii="Cambria Math" w:hAnsi="Cambria Math"/>
                              <w:sz w:val="22"/>
                              <w:szCs w:val="22"/>
                              <w:lang w:val="da-DK"/>
                            </w:rPr>
                            <m:t>882,7</m:t>
                          </m:r>
                        </m:num>
                        <m:den>
                          <m:r>
                            <w:rPr>
                              <w:rFonts w:ascii="Cambria Math" w:hAnsi="Cambria Math"/>
                              <w:sz w:val="22"/>
                              <w:szCs w:val="22"/>
                              <w:lang w:val="da-DK"/>
                            </w:rPr>
                            <m:t>708,7</m:t>
                          </m:r>
                        </m:den>
                      </m:f>
                    </m:e>
                  </m:d>
                </m:den>
              </m:f>
              <m:r>
                <w:rPr>
                  <w:rFonts w:ascii="Cambria Math" w:hAnsi="Cambria Math"/>
                  <w:sz w:val="22"/>
                  <w:szCs w:val="22"/>
                  <w:lang w:val="da-DK"/>
                </w:rPr>
                <m:t>-1</m:t>
              </m:r>
            </m:e>
          </m:d>
          <m:r>
            <w:rPr>
              <w:rFonts w:ascii="Cambria Math" w:hAnsi="Cambria Math"/>
              <w:sz w:val="22"/>
              <w:szCs w:val="22"/>
              <w:lang w:val="da-DK"/>
            </w:rPr>
            <m:t>·100=17 procent</m:t>
          </m:r>
        </m:oMath>
      </m:oMathPara>
    </w:p>
    <w:p w:rsidR="00941B2E" w:rsidRPr="007552AD" w:rsidRDefault="00941B2E" w:rsidP="00941B2E">
      <w:pPr>
        <w:spacing w:line="360" w:lineRule="auto"/>
        <w:rPr>
          <w:rFonts w:eastAsiaTheme="minorEastAsia"/>
          <w:sz w:val="22"/>
          <w:szCs w:val="22"/>
          <w:lang w:val="da-DK"/>
        </w:rPr>
      </w:pPr>
      <w:r>
        <w:rPr>
          <w:rFonts w:eastAsiaTheme="minorEastAsia"/>
          <w:sz w:val="22"/>
          <w:szCs w:val="22"/>
          <w:lang w:val="da-DK"/>
        </w:rPr>
        <w:t>STO 2020 s. 122</w:t>
      </w:r>
    </w:p>
    <w:p w:rsidR="00941B2E" w:rsidRPr="007552AD" w:rsidRDefault="00941B2E" w:rsidP="00941B2E">
      <w:pPr>
        <w:spacing w:line="360" w:lineRule="auto"/>
        <w:rPr>
          <w:rFonts w:eastAsiaTheme="minorEastAsia"/>
          <w:sz w:val="22"/>
          <w:szCs w:val="22"/>
          <w:lang w:val="da-DK"/>
        </w:rPr>
      </w:pPr>
    </w:p>
    <w:p w:rsidR="007552AD" w:rsidRDefault="007552AD" w:rsidP="00941B2E">
      <w:pPr>
        <w:pStyle w:val="ListParagraph"/>
        <w:numPr>
          <w:ilvl w:val="0"/>
          <w:numId w:val="1"/>
        </w:numPr>
        <w:spacing w:line="360" w:lineRule="auto"/>
        <w:rPr>
          <w:sz w:val="22"/>
          <w:szCs w:val="22"/>
          <w:lang w:val="da-DK"/>
        </w:rPr>
      </w:pPr>
    </w:p>
    <w:p w:rsidR="007552AD" w:rsidRPr="00941B2E" w:rsidRDefault="003F2A17" w:rsidP="00941B2E">
      <w:pPr>
        <w:spacing w:line="360" w:lineRule="auto"/>
        <w:rPr>
          <w:rFonts w:eastAsiaTheme="minorEastAsia"/>
          <w:sz w:val="22"/>
          <w:szCs w:val="22"/>
          <w:lang w:val="da-DK"/>
        </w:rPr>
      </w:pPr>
      <m:oMathPara>
        <m:oMath>
          <m:d>
            <m:dPr>
              <m:ctrlPr>
                <w:rPr>
                  <w:rFonts w:ascii="Cambria Math" w:hAnsi="Cambria Math"/>
                  <w:i/>
                  <w:sz w:val="22"/>
                  <w:szCs w:val="22"/>
                  <w:lang w:val="da-DK"/>
                </w:rPr>
              </m:ctrlPr>
            </m:dPr>
            <m:e>
              <m:f>
                <m:fPr>
                  <m:ctrlPr>
                    <w:rPr>
                      <w:rFonts w:ascii="Cambria Math" w:hAnsi="Cambria Math"/>
                      <w:i/>
                      <w:sz w:val="22"/>
                      <w:szCs w:val="22"/>
                      <w:lang w:val="da-DK"/>
                    </w:rPr>
                  </m:ctrlPr>
                </m:fPr>
                <m:num>
                  <m:r>
                    <w:rPr>
                      <w:rFonts w:ascii="Cambria Math" w:hAnsi="Cambria Math"/>
                      <w:sz w:val="22"/>
                      <w:szCs w:val="22"/>
                      <w:lang w:val="da-DK"/>
                    </w:rPr>
                    <m:t>183,1-125,5</m:t>
                  </m:r>
                </m:num>
                <m:den>
                  <m:r>
                    <w:rPr>
                      <w:rFonts w:ascii="Cambria Math" w:hAnsi="Cambria Math"/>
                      <w:sz w:val="22"/>
                      <w:szCs w:val="22"/>
                      <w:lang w:val="da-DK"/>
                    </w:rPr>
                    <m:t>125,5</m:t>
                  </m:r>
                </m:den>
              </m:f>
              <m:ctrlPr>
                <w:rPr>
                  <w:rFonts w:ascii="Cambria Math" w:eastAsiaTheme="minorEastAsia" w:hAnsi="Cambria Math"/>
                  <w:i/>
                  <w:sz w:val="22"/>
                  <w:szCs w:val="22"/>
                  <w:lang w:val="da-DK"/>
                </w:rPr>
              </m:ctrlPr>
            </m:e>
          </m:d>
          <m:r>
            <w:rPr>
              <w:rFonts w:ascii="Cambria Math" w:eastAsiaTheme="minorEastAsia" w:hAnsi="Cambria Math"/>
              <w:sz w:val="22"/>
              <w:szCs w:val="22"/>
              <w:lang w:val="da-DK"/>
            </w:rPr>
            <m:t>·100·</m:t>
          </m:r>
          <m:d>
            <m:dPr>
              <m:ctrlPr>
                <w:rPr>
                  <w:rFonts w:ascii="Cambria Math" w:eastAsiaTheme="minorEastAsia" w:hAnsi="Cambria Math"/>
                  <w:i/>
                  <w:sz w:val="22"/>
                  <w:szCs w:val="22"/>
                  <w:lang w:val="da-DK"/>
                </w:rPr>
              </m:ctrlPr>
            </m:dPr>
            <m:e>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123,6</m:t>
                  </m:r>
                </m:num>
                <m:den>
                  <m:r>
                    <w:rPr>
                      <w:rFonts w:ascii="Cambria Math" w:eastAsiaTheme="minorEastAsia" w:hAnsi="Cambria Math"/>
                      <w:sz w:val="22"/>
                      <w:szCs w:val="22"/>
                      <w:lang w:val="da-DK"/>
                    </w:rPr>
                    <m:t>1484,9</m:t>
                  </m:r>
                </m:den>
              </m:f>
            </m:e>
          </m:d>
          <m:r>
            <w:rPr>
              <w:rFonts w:ascii="Cambria Math" w:eastAsiaTheme="minorEastAsia" w:hAnsi="Cambria Math"/>
              <w:sz w:val="22"/>
              <w:szCs w:val="22"/>
              <w:lang w:val="da-DK"/>
            </w:rPr>
            <m:t>=3,8 procent point</m:t>
          </m:r>
        </m:oMath>
      </m:oMathPara>
    </w:p>
    <w:p w:rsidR="00941B2E" w:rsidRPr="007552AD" w:rsidRDefault="00941B2E" w:rsidP="00941B2E">
      <w:pPr>
        <w:spacing w:line="360" w:lineRule="auto"/>
        <w:rPr>
          <w:rFonts w:eastAsiaTheme="minorEastAsia"/>
          <w:sz w:val="22"/>
          <w:szCs w:val="22"/>
          <w:lang w:val="da-DK"/>
        </w:rPr>
      </w:pPr>
      <w:r>
        <w:rPr>
          <w:rFonts w:eastAsiaTheme="minorEastAsia"/>
          <w:sz w:val="22"/>
          <w:szCs w:val="22"/>
          <w:lang w:val="da-DK"/>
        </w:rPr>
        <w:t>STO 2020 s. 123</w:t>
      </w:r>
    </w:p>
    <w:p w:rsidR="00941B2E" w:rsidRPr="004E7F35" w:rsidRDefault="00941B2E" w:rsidP="00941B2E">
      <w:pPr>
        <w:spacing w:line="360" w:lineRule="auto"/>
        <w:rPr>
          <w:rFonts w:eastAsiaTheme="minorEastAsia"/>
          <w:sz w:val="22"/>
          <w:szCs w:val="22"/>
          <w:lang w:val="da-DK"/>
        </w:rPr>
      </w:pPr>
    </w:p>
    <w:p w:rsidR="000F5C65" w:rsidRDefault="000F5C65" w:rsidP="00941B2E">
      <w:pPr>
        <w:spacing w:line="360" w:lineRule="auto"/>
        <w:rPr>
          <w:rFonts w:eastAsiaTheme="minorEastAsia"/>
          <w:sz w:val="22"/>
          <w:szCs w:val="22"/>
          <w:lang w:val="da-DK"/>
        </w:rPr>
      </w:pPr>
    </w:p>
    <w:p w:rsidR="00941B2E" w:rsidRDefault="00941B2E" w:rsidP="00941B2E">
      <w:pPr>
        <w:spacing w:line="360" w:lineRule="auto"/>
        <w:rPr>
          <w:rFonts w:eastAsiaTheme="minorEastAsia"/>
          <w:sz w:val="32"/>
          <w:szCs w:val="32"/>
          <w:lang w:val="da-DK"/>
        </w:rPr>
      </w:pPr>
      <w:r>
        <w:rPr>
          <w:rFonts w:eastAsiaTheme="minorEastAsia"/>
          <w:sz w:val="32"/>
          <w:szCs w:val="32"/>
          <w:lang w:val="da-DK"/>
        </w:rPr>
        <w:t xml:space="preserve">Spørgsmål 2 </w:t>
      </w:r>
    </w:p>
    <w:p w:rsidR="00651351" w:rsidRDefault="00651351" w:rsidP="00941B2E">
      <w:pPr>
        <w:spacing w:line="360" w:lineRule="auto"/>
        <w:rPr>
          <w:rFonts w:eastAsiaTheme="minorEastAsia"/>
          <w:sz w:val="32"/>
          <w:szCs w:val="32"/>
          <w:lang w:val="da-DK"/>
        </w:rPr>
      </w:pPr>
    </w:p>
    <w:p w:rsidR="00CF459F" w:rsidRDefault="00651351" w:rsidP="00941B2E">
      <w:pPr>
        <w:spacing w:line="360" w:lineRule="auto"/>
        <w:rPr>
          <w:rFonts w:eastAsiaTheme="minorEastAsia"/>
          <w:sz w:val="22"/>
          <w:szCs w:val="22"/>
          <w:lang w:val="da-DK"/>
        </w:rPr>
      </w:pPr>
      <w:r>
        <w:rPr>
          <w:rFonts w:eastAsiaTheme="minorEastAsia"/>
          <w:sz w:val="22"/>
          <w:szCs w:val="22"/>
          <w:lang w:val="da-DK"/>
        </w:rPr>
        <w:t xml:space="preserve">I figuren er udviklingen i </w:t>
      </w:r>
      <w:r w:rsidR="00CF459F">
        <w:rPr>
          <w:rFonts w:eastAsiaTheme="minorEastAsia"/>
          <w:sz w:val="22"/>
          <w:szCs w:val="22"/>
          <w:lang w:val="da-DK"/>
        </w:rPr>
        <w:t xml:space="preserve">nominel og real løn fundet for branchen Industri, råstofindvending og forsyningsvirksomhed. For at finde reallønnen er der gjort brug af en realberegning. For at finde reallønnen dividere man lønindeksets med forbrugerprisindekset. Et eksempel for år 2012: </w:t>
      </w:r>
    </w:p>
    <w:p w:rsidR="00CF459F" w:rsidRPr="00CF459F" w:rsidRDefault="003F2A17" w:rsidP="00941B2E">
      <w:pPr>
        <w:spacing w:line="360" w:lineRule="auto"/>
        <w:rPr>
          <w:rFonts w:eastAsiaTheme="minorEastAsia"/>
          <w:sz w:val="22"/>
          <w:szCs w:val="22"/>
          <w:lang w:val="da-DK"/>
        </w:rPr>
      </w:pPr>
      <m:oMathPara>
        <m:oMath>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124</m:t>
              </m:r>
            </m:num>
            <m:den>
              <m:r>
                <w:rPr>
                  <w:rFonts w:ascii="Cambria Math" w:eastAsiaTheme="minorEastAsia" w:hAnsi="Cambria Math"/>
                  <w:sz w:val="22"/>
                  <w:szCs w:val="22"/>
                  <w:lang w:val="da-DK"/>
                </w:rPr>
                <m:t>98,2</m:t>
              </m:r>
            </m:den>
          </m:f>
          <m:r>
            <w:rPr>
              <w:rFonts w:ascii="Cambria Math" w:eastAsiaTheme="minorEastAsia" w:hAnsi="Cambria Math"/>
              <w:sz w:val="22"/>
              <w:szCs w:val="22"/>
              <w:lang w:val="da-DK"/>
            </w:rPr>
            <m:t>·100=126,3</m:t>
          </m:r>
        </m:oMath>
      </m:oMathPara>
    </w:p>
    <w:p w:rsidR="00CF459F" w:rsidRDefault="00CF459F" w:rsidP="00941B2E">
      <w:pPr>
        <w:spacing w:line="360" w:lineRule="auto"/>
        <w:rPr>
          <w:rFonts w:eastAsiaTheme="minorEastAsia"/>
          <w:sz w:val="22"/>
          <w:szCs w:val="22"/>
          <w:lang w:val="da-DK"/>
        </w:rPr>
      </w:pPr>
      <w:r>
        <w:rPr>
          <w:rFonts w:eastAsiaTheme="minorEastAsia"/>
          <w:sz w:val="22"/>
          <w:szCs w:val="22"/>
          <w:lang w:val="da-DK"/>
        </w:rPr>
        <w:t>Efterfølgende viser man den procentvise ændring. Formlen for dette lyder(År 2012:</w:t>
      </w:r>
    </w:p>
    <w:p w:rsidR="00CF459F" w:rsidRPr="00CF459F" w:rsidRDefault="003F2A17" w:rsidP="00941B2E">
      <w:pPr>
        <w:spacing w:line="360" w:lineRule="auto"/>
        <w:rPr>
          <w:rFonts w:eastAsiaTheme="minorEastAsia"/>
          <w:sz w:val="22"/>
          <w:szCs w:val="22"/>
          <w:lang w:val="da-DK"/>
        </w:rPr>
      </w:pPr>
      <m:oMathPara>
        <m:oMath>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126,3</m:t>
              </m:r>
            </m:num>
            <m:den>
              <m:r>
                <w:rPr>
                  <w:rFonts w:ascii="Cambria Math" w:eastAsiaTheme="minorEastAsia" w:hAnsi="Cambria Math"/>
                  <w:sz w:val="22"/>
                  <w:szCs w:val="22"/>
                  <w:lang w:val="da-DK"/>
                </w:rPr>
                <m:t>126,7</m:t>
              </m:r>
            </m:den>
          </m:f>
          <m:r>
            <w:rPr>
              <w:rFonts w:ascii="Cambria Math" w:eastAsiaTheme="minorEastAsia" w:hAnsi="Cambria Math"/>
              <w:sz w:val="22"/>
              <w:szCs w:val="22"/>
              <w:lang w:val="da-DK"/>
            </w:rPr>
            <m:t>-1·100=-0,33</m:t>
          </m:r>
        </m:oMath>
      </m:oMathPara>
    </w:p>
    <w:p w:rsidR="00CF459F" w:rsidRPr="00CF459F" w:rsidRDefault="00CF459F" w:rsidP="00941B2E">
      <w:pPr>
        <w:spacing w:line="360" w:lineRule="auto"/>
        <w:rPr>
          <w:rFonts w:eastAsiaTheme="minorEastAsia"/>
          <w:sz w:val="22"/>
          <w:szCs w:val="22"/>
          <w:lang w:val="da-DK"/>
        </w:rPr>
      </w:pPr>
      <w:r>
        <w:rPr>
          <w:rFonts w:eastAsiaTheme="minorEastAsia"/>
          <w:sz w:val="22"/>
          <w:szCs w:val="22"/>
          <w:lang w:val="da-DK"/>
        </w:rPr>
        <w:t xml:space="preserve">Realberegning er godt, for det viser den reale løn, renset for alt inflation. Dette giver os yderligere mulighed for at vise, hvilken real vækst der har været, og hvilken vækst, der kan tilskrives inflationen. </w:t>
      </w:r>
      <w:r w:rsidR="00B77BD9">
        <w:rPr>
          <w:rFonts w:eastAsiaTheme="minorEastAsia"/>
          <w:sz w:val="22"/>
          <w:szCs w:val="22"/>
          <w:lang w:val="da-DK"/>
        </w:rPr>
        <w:t xml:space="preserve"> Dog fortæller beregningen intet om niveauer i fx løn. </w:t>
      </w:r>
    </w:p>
    <w:p w:rsidR="00CF459F" w:rsidRPr="00CF459F" w:rsidRDefault="00CF459F" w:rsidP="00941B2E">
      <w:pPr>
        <w:spacing w:line="360" w:lineRule="auto"/>
        <w:rPr>
          <w:rFonts w:eastAsiaTheme="minorEastAsia"/>
          <w:sz w:val="22"/>
          <w:szCs w:val="22"/>
          <w:lang w:val="da-DK"/>
        </w:rPr>
      </w:pPr>
    </w:p>
    <w:p w:rsidR="00CF459F" w:rsidRPr="00CF459F" w:rsidRDefault="00CF459F" w:rsidP="00941B2E">
      <w:pPr>
        <w:spacing w:line="360" w:lineRule="auto"/>
        <w:rPr>
          <w:rFonts w:eastAsiaTheme="minorEastAsia"/>
          <w:sz w:val="22"/>
          <w:szCs w:val="22"/>
          <w:lang w:val="da-DK"/>
        </w:rPr>
      </w:pPr>
    </w:p>
    <w:p w:rsidR="00DF71FA" w:rsidRDefault="00DF71FA" w:rsidP="00941B2E">
      <w:pPr>
        <w:spacing w:line="360" w:lineRule="auto"/>
        <w:rPr>
          <w:noProof/>
        </w:rPr>
      </w:pPr>
      <w:r>
        <w:rPr>
          <w:noProof/>
        </w:rPr>
        <w:lastRenderedPageBreak/>
        <w:drawing>
          <wp:inline distT="0" distB="0" distL="0" distR="0" wp14:anchorId="3846C063" wp14:editId="3C80D800">
            <wp:extent cx="5651500" cy="3613150"/>
            <wp:effectExtent l="0" t="0" r="12700" b="6350"/>
            <wp:docPr id="3" name="Chart 3">
              <a:extLst xmlns:a="http://schemas.openxmlformats.org/drawingml/2006/main">
                <a:ext uri="{FF2B5EF4-FFF2-40B4-BE49-F238E27FC236}">
                  <a16:creationId xmlns:a16="http://schemas.microsoft.com/office/drawing/2014/main" id="{E9424DF3-4B57-7C47-917A-246C708DA8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p>
    <w:p w:rsidR="00DF71FA" w:rsidRDefault="00DF71FA" w:rsidP="00941B2E">
      <w:pPr>
        <w:spacing w:line="360" w:lineRule="auto"/>
        <w:rPr>
          <w:noProof/>
        </w:rPr>
      </w:pPr>
    </w:p>
    <w:p w:rsidR="000F5C65" w:rsidRDefault="000F5C65" w:rsidP="00941B2E">
      <w:pPr>
        <w:spacing w:line="360" w:lineRule="auto"/>
        <w:rPr>
          <w:rFonts w:eastAsiaTheme="minorEastAsia"/>
          <w:sz w:val="32"/>
          <w:szCs w:val="32"/>
          <w:lang w:val="da-DK"/>
        </w:rPr>
      </w:pPr>
      <w:r w:rsidRPr="000F5C65">
        <w:rPr>
          <w:rFonts w:eastAsiaTheme="minorEastAsia"/>
          <w:sz w:val="32"/>
          <w:szCs w:val="32"/>
          <w:lang w:val="da-DK"/>
        </w:rPr>
        <w:t xml:space="preserve">Spørgsmål 3 </w:t>
      </w:r>
    </w:p>
    <w:p w:rsidR="000F5C65" w:rsidRDefault="000F5C65" w:rsidP="00941B2E">
      <w:pPr>
        <w:spacing w:line="360" w:lineRule="auto"/>
        <w:rPr>
          <w:rFonts w:eastAsiaTheme="minorEastAsia"/>
          <w:sz w:val="22"/>
          <w:szCs w:val="22"/>
          <w:lang w:val="da-DK"/>
        </w:rPr>
      </w:pPr>
      <w:r>
        <w:rPr>
          <w:rFonts w:eastAsiaTheme="minorEastAsia"/>
          <w:sz w:val="22"/>
          <w:szCs w:val="22"/>
          <w:lang w:val="da-DK"/>
        </w:rPr>
        <w:t>Figuren er viser de årlige vækstrater for timeproduktiviteten i industri. Beregningen er lavet på følgende måde. Eksemplet er taget fra år 2011</w:t>
      </w:r>
    </w:p>
    <w:p w:rsidR="000F5C65" w:rsidRDefault="000F5C65" w:rsidP="00941B2E">
      <w:pPr>
        <w:spacing w:line="360" w:lineRule="auto"/>
        <w:rPr>
          <w:rFonts w:eastAsiaTheme="minorEastAsia"/>
          <w:sz w:val="22"/>
          <w:szCs w:val="22"/>
          <w:lang w:val="da-DK"/>
        </w:rPr>
      </w:pPr>
    </w:p>
    <w:p w:rsidR="000F5C65" w:rsidRPr="00DC7028" w:rsidRDefault="003F2A17" w:rsidP="00941B2E">
      <w:pPr>
        <w:spacing w:line="360" w:lineRule="auto"/>
        <w:rPr>
          <w:rFonts w:eastAsiaTheme="minorEastAsia"/>
          <w:sz w:val="22"/>
          <w:szCs w:val="22"/>
          <w:lang w:val="da-DK"/>
        </w:rPr>
      </w:pPr>
      <m:oMathPara>
        <m:oMath>
          <m:d>
            <m:dPr>
              <m:ctrlPr>
                <w:rPr>
                  <w:rFonts w:ascii="Cambria Math" w:eastAsiaTheme="minorEastAsia" w:hAnsi="Cambria Math"/>
                  <w:i/>
                  <w:sz w:val="22"/>
                  <w:szCs w:val="22"/>
                  <w:lang w:val="da-DK"/>
                </w:rPr>
              </m:ctrlPr>
            </m:dPr>
            <m:e>
              <m:sSup>
                <m:sSupPr>
                  <m:ctrlPr>
                    <w:rPr>
                      <w:rFonts w:ascii="Cambria Math" w:eastAsiaTheme="minorEastAsia" w:hAnsi="Cambria Math"/>
                      <w:i/>
                      <w:sz w:val="22"/>
                      <w:szCs w:val="22"/>
                      <w:lang w:val="da-DK"/>
                    </w:rPr>
                  </m:ctrlPr>
                </m:sSupPr>
                <m:e>
                  <m:d>
                    <m:dPr>
                      <m:ctrlPr>
                        <w:rPr>
                          <w:rFonts w:ascii="Cambria Math" w:eastAsiaTheme="minorEastAsia" w:hAnsi="Cambria Math"/>
                          <w:i/>
                          <w:sz w:val="22"/>
                          <w:szCs w:val="22"/>
                          <w:lang w:val="da-DK"/>
                        </w:rPr>
                      </m:ctrlPr>
                    </m:dPr>
                    <m:e>
                      <m:f>
                        <m:fPr>
                          <m:ctrlPr>
                            <w:rPr>
                              <w:rFonts w:ascii="Cambria Math" w:eastAsiaTheme="minorEastAsia" w:hAnsi="Cambria Math"/>
                              <w:i/>
                              <w:sz w:val="22"/>
                              <w:szCs w:val="22"/>
                              <w:lang w:val="da-DK"/>
                            </w:rPr>
                          </m:ctrlPr>
                        </m:fPr>
                        <m:num>
                          <m:d>
                            <m:dPr>
                              <m:ctrlPr>
                                <w:rPr>
                                  <w:rFonts w:ascii="Cambria Math" w:eastAsiaTheme="minorEastAsia" w:hAnsi="Cambria Math"/>
                                  <w:i/>
                                  <w:sz w:val="22"/>
                                  <w:szCs w:val="22"/>
                                  <w:lang w:val="da-DK"/>
                                </w:rPr>
                              </m:ctrlPr>
                            </m:dPr>
                            <m:e>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210,4</m:t>
                                  </m:r>
                                </m:num>
                                <m:den>
                                  <m:r>
                                    <w:rPr>
                                      <w:rFonts w:ascii="Cambria Math" w:eastAsiaTheme="minorEastAsia" w:hAnsi="Cambria Math"/>
                                      <w:sz w:val="22"/>
                                      <w:szCs w:val="22"/>
                                      <w:lang w:val="da-DK"/>
                                    </w:rPr>
                                    <m:t>456,3</m:t>
                                  </m:r>
                                </m:den>
                              </m:f>
                            </m:e>
                          </m:d>
                        </m:num>
                        <m:den>
                          <m:d>
                            <m:dPr>
                              <m:ctrlPr>
                                <w:rPr>
                                  <w:rFonts w:ascii="Cambria Math" w:eastAsiaTheme="minorEastAsia" w:hAnsi="Cambria Math"/>
                                  <w:i/>
                                  <w:sz w:val="22"/>
                                  <w:szCs w:val="22"/>
                                  <w:lang w:val="da-DK"/>
                                </w:rPr>
                              </m:ctrlPr>
                            </m:dPr>
                            <m:e>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198</m:t>
                                  </m:r>
                                </m:num>
                                <m:den>
                                  <m:r>
                                    <w:rPr>
                                      <w:rFonts w:ascii="Cambria Math" w:eastAsiaTheme="minorEastAsia" w:hAnsi="Cambria Math"/>
                                      <w:sz w:val="22"/>
                                      <w:szCs w:val="22"/>
                                      <w:lang w:val="da-DK"/>
                                    </w:rPr>
                                    <m:t>445,7</m:t>
                                  </m:r>
                                </m:den>
                              </m:f>
                            </m:e>
                          </m:d>
                        </m:den>
                      </m:f>
                    </m:e>
                  </m:d>
                </m:e>
                <m:sup>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m:t>
                      </m:r>
                    </m:num>
                    <m:den>
                      <m:r>
                        <w:rPr>
                          <w:rFonts w:ascii="Cambria Math" w:eastAsiaTheme="minorEastAsia" w:hAnsi="Cambria Math"/>
                          <w:sz w:val="22"/>
                          <w:szCs w:val="22"/>
                          <w:lang w:val="da-DK"/>
                        </w:rPr>
                        <m:t>1</m:t>
                      </m:r>
                    </m:den>
                  </m:f>
                </m:sup>
              </m:sSup>
              <m:r>
                <w:rPr>
                  <w:rFonts w:ascii="Cambria Math" w:eastAsiaTheme="minorEastAsia" w:hAnsi="Cambria Math"/>
                  <w:sz w:val="22"/>
                  <w:szCs w:val="22"/>
                  <w:lang w:val="da-DK"/>
                </w:rPr>
                <m:t>-1</m:t>
              </m:r>
            </m:e>
          </m:d>
          <m:r>
            <w:rPr>
              <w:rFonts w:ascii="Cambria Math" w:eastAsiaTheme="minorEastAsia" w:hAnsi="Cambria Math"/>
              <w:sz w:val="22"/>
              <w:szCs w:val="22"/>
              <w:lang w:val="da-DK"/>
            </w:rPr>
            <m:t>·100</m:t>
          </m:r>
        </m:oMath>
      </m:oMathPara>
    </w:p>
    <w:p w:rsidR="00DC7028" w:rsidRPr="000F5C65" w:rsidRDefault="00DC7028" w:rsidP="00941B2E">
      <w:pPr>
        <w:spacing w:line="360" w:lineRule="auto"/>
        <w:rPr>
          <w:rFonts w:eastAsiaTheme="minorEastAsia"/>
          <w:sz w:val="22"/>
          <w:szCs w:val="22"/>
          <w:lang w:val="da-DK"/>
        </w:rPr>
      </w:pPr>
      <w:r>
        <w:rPr>
          <w:rFonts w:eastAsiaTheme="minorEastAsia"/>
          <w:sz w:val="22"/>
          <w:szCs w:val="22"/>
          <w:lang w:val="da-DK"/>
        </w:rPr>
        <w:t xml:space="preserve">Den viser bruttotilvæksten i forhold til antal timer lagt i branchen. Det gode ved beregningen er, den viser effektiviteten af branchen, og viser hvor meget man kan få ud af hver enkel time lagt. Hvor den giver os mulighed for at s </w:t>
      </w:r>
      <w:proofErr w:type="spellStart"/>
      <w:r>
        <w:rPr>
          <w:rFonts w:eastAsiaTheme="minorEastAsia"/>
          <w:sz w:val="22"/>
          <w:szCs w:val="22"/>
          <w:lang w:val="da-DK"/>
        </w:rPr>
        <w:t>epå</w:t>
      </w:r>
      <w:proofErr w:type="spellEnd"/>
      <w:r>
        <w:rPr>
          <w:rFonts w:eastAsiaTheme="minorEastAsia"/>
          <w:sz w:val="22"/>
          <w:szCs w:val="22"/>
          <w:lang w:val="da-DK"/>
        </w:rPr>
        <w:t xml:space="preserve"> udviklingen, giver figuren få informationer om hvor højt niveauet er, og hvor meget der reelt bliver produceret i kroner og øre. Ydermere fortæller den ikke noget om hvem, der har lagt timen. Der er forskel på om en faglært inden for området lægger en time, eller en ufaglært. Derudover kan der ej heller siges noget om erfaringen af personen bag den enkelte lagte time. </w:t>
      </w:r>
    </w:p>
    <w:p w:rsidR="007552AD" w:rsidRDefault="007552AD" w:rsidP="00941B2E">
      <w:pPr>
        <w:spacing w:line="360" w:lineRule="auto"/>
        <w:rPr>
          <w:rFonts w:eastAsiaTheme="minorEastAsia"/>
          <w:sz w:val="22"/>
          <w:szCs w:val="22"/>
          <w:lang w:val="da-DK"/>
        </w:rPr>
      </w:pPr>
    </w:p>
    <w:p w:rsidR="007552AD" w:rsidRDefault="00DF71FA" w:rsidP="00941B2E">
      <w:pPr>
        <w:spacing w:line="360" w:lineRule="auto"/>
        <w:rPr>
          <w:sz w:val="22"/>
          <w:szCs w:val="22"/>
          <w:lang w:val="da-DK"/>
        </w:rPr>
      </w:pPr>
      <w:r>
        <w:rPr>
          <w:noProof/>
        </w:rPr>
        <w:lastRenderedPageBreak/>
        <w:drawing>
          <wp:inline distT="0" distB="0" distL="0" distR="0" wp14:anchorId="28A3A206" wp14:editId="0DDA2C6A">
            <wp:extent cx="5092700" cy="3892550"/>
            <wp:effectExtent l="0" t="0" r="12700" b="6350"/>
            <wp:docPr id="4" name="Chart 4">
              <a:extLst xmlns:a="http://schemas.openxmlformats.org/drawingml/2006/main">
                <a:ext uri="{FF2B5EF4-FFF2-40B4-BE49-F238E27FC236}">
                  <a16:creationId xmlns:a16="http://schemas.microsoft.com/office/drawing/2014/main" id="{E5A1617C-3067-FE43-81F0-A2239316E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t xml:space="preserve"> </w:t>
      </w:r>
    </w:p>
    <w:p w:rsidR="00DC7028" w:rsidRDefault="00DC7028" w:rsidP="00941B2E">
      <w:pPr>
        <w:spacing w:line="360" w:lineRule="auto"/>
        <w:rPr>
          <w:sz w:val="22"/>
          <w:szCs w:val="22"/>
          <w:lang w:val="da-DK"/>
        </w:rPr>
      </w:pPr>
    </w:p>
    <w:p w:rsidR="00DC7028" w:rsidRPr="007552AD" w:rsidRDefault="00DC7028" w:rsidP="00DF71FA">
      <w:pPr>
        <w:spacing w:line="360" w:lineRule="auto"/>
        <w:rPr>
          <w:sz w:val="22"/>
          <w:szCs w:val="22"/>
          <w:lang w:val="da-DK"/>
        </w:rPr>
      </w:pPr>
      <w:r>
        <w:rPr>
          <w:sz w:val="22"/>
          <w:szCs w:val="22"/>
          <w:lang w:val="da-DK"/>
        </w:rPr>
        <w:t>Vækstraterne er generelt stigende gennem hele perioden 2010-2019. Den største stigning kommer i 2010 ved en vækst på lige under 12 pct.</w:t>
      </w:r>
      <w:r w:rsidR="00941B2E">
        <w:rPr>
          <w:sz w:val="22"/>
          <w:szCs w:val="22"/>
          <w:lang w:val="da-DK"/>
        </w:rPr>
        <w:t xml:space="preserve"> I de efterfølgende tre år er der en klar positiv vækst på ca. 4, ca.7 og ca. 5 procent for hhv. 2011, 2012 og 2013. Fra 2014 starter en mindre tilvækst periode, hvor væksten i året ligger på 1 procent. Det efter følgende år, 2015 er der tilmed en negativ vækst på ca. -2%. Dog vender udviklingen og i den resterende periode er udviklingen positiv, og specielt år 2018 med en vækst på ca. 6,5 procent springer i øjnene. </w:t>
      </w:r>
      <w:r>
        <w:rPr>
          <w:sz w:val="22"/>
          <w:szCs w:val="22"/>
          <w:lang w:val="da-DK"/>
        </w:rPr>
        <w:t xml:space="preserve"> </w:t>
      </w:r>
    </w:p>
    <w:sectPr w:rsidR="00DC7028" w:rsidRPr="007552AD">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2A17" w:rsidRDefault="003F2A17" w:rsidP="0014448A">
      <w:r>
        <w:separator/>
      </w:r>
    </w:p>
  </w:endnote>
  <w:endnote w:type="continuationSeparator" w:id="0">
    <w:p w:rsidR="003F2A17" w:rsidRDefault="003F2A17" w:rsidP="00144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0772217"/>
      <w:docPartObj>
        <w:docPartGallery w:val="Page Numbers (Bottom of Page)"/>
        <w:docPartUnique/>
      </w:docPartObj>
    </w:sdtPr>
    <w:sdtEndPr>
      <w:rPr>
        <w:rStyle w:val="PageNumber"/>
      </w:rPr>
    </w:sdtEndPr>
    <w:sdtContent>
      <w:p w:rsidR="0014448A" w:rsidRDefault="0014448A" w:rsidP="004E14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4448A" w:rsidRDefault="0014448A" w:rsidP="00144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101024"/>
      <w:docPartObj>
        <w:docPartGallery w:val="Page Numbers (Bottom of Page)"/>
        <w:docPartUnique/>
      </w:docPartObj>
    </w:sdtPr>
    <w:sdtEndPr>
      <w:rPr>
        <w:rStyle w:val="PageNumber"/>
      </w:rPr>
    </w:sdtEndPr>
    <w:sdtContent>
      <w:p w:rsidR="0014448A" w:rsidRDefault="0014448A" w:rsidP="004E14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4448A" w:rsidRDefault="0014448A" w:rsidP="00144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2A17" w:rsidRDefault="003F2A17" w:rsidP="0014448A">
      <w:r>
        <w:separator/>
      </w:r>
    </w:p>
  </w:footnote>
  <w:footnote w:type="continuationSeparator" w:id="0">
    <w:p w:rsidR="003F2A17" w:rsidRDefault="003F2A17" w:rsidP="00144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448A" w:rsidRPr="0014448A" w:rsidRDefault="0014448A">
    <w:pPr>
      <w:pStyle w:val="Header"/>
      <w:rPr>
        <w:lang w:val="da-DK"/>
      </w:rPr>
    </w:pPr>
    <w:r>
      <w:rPr>
        <w:lang w:val="da-DK"/>
      </w:rPr>
      <w:t>Jeppe Vanderhaegen</w:t>
    </w:r>
    <w:r>
      <w:rPr>
        <w:lang w:val="da-DK"/>
      </w:rPr>
      <w:tab/>
      <w:t xml:space="preserve">Samfundsbeskrivelse </w:t>
    </w:r>
    <w:r>
      <w:rPr>
        <w:lang w:val="da-DK"/>
      </w:rPr>
      <w:tab/>
      <w:t>Københavns Universitet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45BD6"/>
    <w:multiLevelType w:val="hybridMultilevel"/>
    <w:tmpl w:val="6F0449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AD"/>
    <w:rsid w:val="000F5C65"/>
    <w:rsid w:val="0014448A"/>
    <w:rsid w:val="003416EB"/>
    <w:rsid w:val="003F2A17"/>
    <w:rsid w:val="004E7F35"/>
    <w:rsid w:val="00564E11"/>
    <w:rsid w:val="006170A9"/>
    <w:rsid w:val="006431B8"/>
    <w:rsid w:val="00651351"/>
    <w:rsid w:val="006D70B6"/>
    <w:rsid w:val="007552AD"/>
    <w:rsid w:val="00941B2E"/>
    <w:rsid w:val="00A2272E"/>
    <w:rsid w:val="00B74AD2"/>
    <w:rsid w:val="00B77BD9"/>
    <w:rsid w:val="00C26AB6"/>
    <w:rsid w:val="00CF459F"/>
    <w:rsid w:val="00DC7028"/>
    <w:rsid w:val="00DF71FA"/>
    <w:rsid w:val="00F45DA6"/>
    <w:rsid w:val="00F51D53"/>
    <w:rsid w:val="00F53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8A91"/>
  <w15:chartTrackingRefBased/>
  <w15:docId w15:val="{3F9A56E1-4B19-F64A-923E-82D3DBB3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2AD"/>
    <w:pPr>
      <w:ind w:left="720"/>
      <w:contextualSpacing/>
    </w:pPr>
  </w:style>
  <w:style w:type="character" w:styleId="PlaceholderText">
    <w:name w:val="Placeholder Text"/>
    <w:basedOn w:val="DefaultParagraphFont"/>
    <w:uiPriority w:val="99"/>
    <w:semiHidden/>
    <w:rsid w:val="007552AD"/>
    <w:rPr>
      <w:color w:val="808080"/>
    </w:rPr>
  </w:style>
  <w:style w:type="paragraph" w:styleId="Header">
    <w:name w:val="header"/>
    <w:basedOn w:val="Normal"/>
    <w:link w:val="HeaderChar"/>
    <w:uiPriority w:val="99"/>
    <w:unhideWhenUsed/>
    <w:rsid w:val="0014448A"/>
    <w:pPr>
      <w:tabs>
        <w:tab w:val="center" w:pos="4513"/>
        <w:tab w:val="right" w:pos="9026"/>
      </w:tabs>
    </w:pPr>
  </w:style>
  <w:style w:type="character" w:customStyle="1" w:styleId="HeaderChar">
    <w:name w:val="Header Char"/>
    <w:basedOn w:val="DefaultParagraphFont"/>
    <w:link w:val="Header"/>
    <w:uiPriority w:val="99"/>
    <w:rsid w:val="0014448A"/>
  </w:style>
  <w:style w:type="paragraph" w:styleId="Footer">
    <w:name w:val="footer"/>
    <w:basedOn w:val="Normal"/>
    <w:link w:val="FooterChar"/>
    <w:uiPriority w:val="99"/>
    <w:unhideWhenUsed/>
    <w:rsid w:val="0014448A"/>
    <w:pPr>
      <w:tabs>
        <w:tab w:val="center" w:pos="4513"/>
        <w:tab w:val="right" w:pos="9026"/>
      </w:tabs>
    </w:pPr>
  </w:style>
  <w:style w:type="character" w:customStyle="1" w:styleId="FooterChar">
    <w:name w:val="Footer Char"/>
    <w:basedOn w:val="DefaultParagraphFont"/>
    <w:link w:val="Footer"/>
    <w:uiPriority w:val="99"/>
    <w:rsid w:val="0014448A"/>
  </w:style>
  <w:style w:type="character" w:styleId="PageNumber">
    <w:name w:val="page number"/>
    <w:basedOn w:val="DefaultParagraphFont"/>
    <w:uiPriority w:val="99"/>
    <w:semiHidden/>
    <w:unhideWhenUsed/>
    <w:rsid w:val="0014448A"/>
  </w:style>
  <w:style w:type="paragraph" w:styleId="BalloonText">
    <w:name w:val="Balloon Text"/>
    <w:basedOn w:val="Normal"/>
    <w:link w:val="BalloonTextChar"/>
    <w:uiPriority w:val="99"/>
    <w:semiHidden/>
    <w:unhideWhenUsed/>
    <w:rsid w:val="00C26A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6A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pee/Documents/University/Samf%20A%20/Hjemmeopgaver/Lynpr&#248;ve/Lyn%20Pr&#248;v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pee/Documents/University/Samf%20A%20/Hjemmeopgaver/Lynpr&#248;ve/Lyn%20Pr&#248;v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1.</a:t>
            </a:r>
            <a:r>
              <a:rPr lang="en-GB" baseline="0"/>
              <a:t> Udvikling i nominel og real løn i branchen Industri, råstofindvending og forsyningsvirksomhed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292046359373632E-2"/>
          <c:y val="0.17168999708369787"/>
          <c:w val="0.79495514465186234"/>
          <c:h val="0.58694878430178654"/>
        </c:manualLayout>
      </c:layout>
      <c:barChart>
        <c:barDir val="col"/>
        <c:grouping val="clustered"/>
        <c:varyColors val="0"/>
        <c:ser>
          <c:idx val="0"/>
          <c:order val="0"/>
          <c:tx>
            <c:v>Real Løn</c:v>
          </c:tx>
          <c:spPr>
            <a:solidFill>
              <a:schemeClr val="accent1"/>
            </a:solidFill>
            <a:ln>
              <a:noFill/>
            </a:ln>
            <a:effectLst/>
          </c:spPr>
          <c:invertIfNegative val="0"/>
          <c:cat>
            <c:numRef>
              <c:f>Sheet1!$D$44:$L$44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Sheet1!$D$49:$L$49</c:f>
              <c:numCache>
                <c:formatCode>0.0</c:formatCode>
                <c:ptCount val="9"/>
                <c:pt idx="0">
                  <c:v>-0.33225658402601388</c:v>
                </c:pt>
                <c:pt idx="1">
                  <c:v>-0.3327382598710904</c:v>
                </c:pt>
                <c:pt idx="2">
                  <c:v>0.71179537308569962</c:v>
                </c:pt>
                <c:pt idx="3">
                  <c:v>0.89763342488300424</c:v>
                </c:pt>
                <c:pt idx="4">
                  <c:v>0.92488262910797037</c:v>
                </c:pt>
                <c:pt idx="5">
                  <c:v>1.8565923850071497</c:v>
                </c:pt>
                <c:pt idx="6">
                  <c:v>1.0086304958099479</c:v>
                </c:pt>
                <c:pt idx="7">
                  <c:v>1.273536598967806</c:v>
                </c:pt>
                <c:pt idx="8">
                  <c:v>1.3818934502981772</c:v>
                </c:pt>
              </c:numCache>
            </c:numRef>
          </c:val>
          <c:extLst>
            <c:ext xmlns:c16="http://schemas.microsoft.com/office/drawing/2014/chart" uri="{C3380CC4-5D6E-409C-BE32-E72D297353CC}">
              <c16:uniqueId val="{00000000-83A0-F642-9B92-1CABD4584736}"/>
            </c:ext>
          </c:extLst>
        </c:ser>
        <c:ser>
          <c:idx val="1"/>
          <c:order val="1"/>
          <c:tx>
            <c:v>Nominel Løn</c:v>
          </c:tx>
          <c:spPr>
            <a:solidFill>
              <a:schemeClr val="accent6"/>
            </a:solidFill>
            <a:ln>
              <a:solidFill>
                <a:schemeClr val="accent6"/>
              </a:solidFill>
            </a:ln>
            <a:effectLst/>
          </c:spPr>
          <c:invertIfNegative val="0"/>
          <c:cat>
            <c:numRef>
              <c:f>Sheet1!$D$44:$L$44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Sheet1!$D$50:$L$50</c:f>
              <c:numCache>
                <c:formatCode>0.0</c:formatCode>
                <c:ptCount val="9"/>
                <c:pt idx="0">
                  <c:v>2.4451939291737057</c:v>
                </c:pt>
                <c:pt idx="1">
                  <c:v>2.0576131687242816</c:v>
                </c:pt>
                <c:pt idx="2">
                  <c:v>1.5322580645161343</c:v>
                </c:pt>
                <c:pt idx="3">
                  <c:v>1.5091342335186608</c:v>
                </c:pt>
                <c:pt idx="4">
                  <c:v>1.3302034428795073</c:v>
                </c:pt>
                <c:pt idx="5">
                  <c:v>2.1621621621621623</c:v>
                </c:pt>
                <c:pt idx="6">
                  <c:v>2.1164021164020941</c:v>
                </c:pt>
                <c:pt idx="7">
                  <c:v>2.0725388601036343</c:v>
                </c:pt>
                <c:pt idx="8">
                  <c:v>2.1754894851341522</c:v>
                </c:pt>
              </c:numCache>
            </c:numRef>
          </c:val>
          <c:extLst>
            <c:ext xmlns:c16="http://schemas.microsoft.com/office/drawing/2014/chart" uri="{C3380CC4-5D6E-409C-BE32-E72D297353CC}">
              <c16:uniqueId val="{00000001-83A0-F642-9B92-1CABD4584736}"/>
            </c:ext>
          </c:extLst>
        </c:ser>
        <c:dLbls>
          <c:showLegendKey val="0"/>
          <c:showVal val="0"/>
          <c:showCatName val="0"/>
          <c:showSerName val="0"/>
          <c:showPercent val="0"/>
          <c:showBubbleSize val="0"/>
        </c:dLbls>
        <c:gapWidth val="219"/>
        <c:overlap val="-27"/>
        <c:axId val="264097232"/>
        <c:axId val="213010928"/>
      </c:barChart>
      <c:lineChart>
        <c:grouping val="standard"/>
        <c:varyColors val="0"/>
        <c:ser>
          <c:idx val="2"/>
          <c:order val="2"/>
          <c:tx>
            <c:v>Forbrugerprisindekset</c:v>
          </c:tx>
          <c:spPr>
            <a:ln w="28575" cap="rnd">
              <a:solidFill>
                <a:schemeClr val="accent2"/>
              </a:solidFill>
              <a:round/>
            </a:ln>
            <a:effectLst/>
          </c:spPr>
          <c:marker>
            <c:symbol val="none"/>
          </c:marker>
          <c:val>
            <c:numRef>
              <c:f>Sheet1!$C$51:$L$51</c:f>
              <c:numCache>
                <c:formatCode>0.0</c:formatCode>
                <c:ptCount val="10"/>
                <c:pt idx="0">
                  <c:v>2.3026315789473673</c:v>
                </c:pt>
                <c:pt idx="1">
                  <c:v>2.7867095391211238</c:v>
                </c:pt>
                <c:pt idx="2">
                  <c:v>2.3983315954118734</c:v>
                </c:pt>
                <c:pt idx="3">
                  <c:v>0.81466395112015366</c:v>
                </c:pt>
                <c:pt idx="4">
                  <c:v>0.60606060606060996</c:v>
                </c:pt>
                <c:pt idx="5">
                  <c:v>0.40160642570281624</c:v>
                </c:pt>
                <c:pt idx="6">
                  <c:v>0.29999999999998916</c:v>
                </c:pt>
                <c:pt idx="7">
                  <c:v>1.0967098703888345</c:v>
                </c:pt>
                <c:pt idx="8">
                  <c:v>0.78895463510848529</c:v>
                </c:pt>
                <c:pt idx="9">
                  <c:v>0.78277886497064575</c:v>
                </c:pt>
              </c:numCache>
            </c:numRef>
          </c:val>
          <c:smooth val="0"/>
          <c:extLst>
            <c:ext xmlns:c16="http://schemas.microsoft.com/office/drawing/2014/chart" uri="{C3380CC4-5D6E-409C-BE32-E72D297353CC}">
              <c16:uniqueId val="{00000002-83A0-F642-9B92-1CABD4584736}"/>
            </c:ext>
          </c:extLst>
        </c:ser>
        <c:dLbls>
          <c:showLegendKey val="0"/>
          <c:showVal val="0"/>
          <c:showCatName val="0"/>
          <c:showSerName val="0"/>
          <c:showPercent val="0"/>
          <c:showBubbleSize val="0"/>
        </c:dLbls>
        <c:marker val="1"/>
        <c:smooth val="0"/>
        <c:axId val="264097232"/>
        <c:axId val="213010928"/>
      </c:lineChart>
      <c:catAx>
        <c:axId val="26409723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0928"/>
        <c:crosses val="autoZero"/>
        <c:auto val="1"/>
        <c:lblAlgn val="ctr"/>
        <c:lblOffset val="100"/>
        <c:noMultiLvlLbl val="0"/>
      </c:catAx>
      <c:valAx>
        <c:axId val="21301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Målt i pct.</a:t>
                </a:r>
              </a:p>
            </c:rich>
          </c:tx>
          <c:layout>
            <c:manualLayout>
              <c:xMode val="edge"/>
              <c:yMode val="edge"/>
              <c:x val="3.3707865168539325E-2"/>
              <c:y val="8.8831075377440741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09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Figur 2. Årlig vækst for timeproduktiviteten i industri</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7.6795413042197655E-2"/>
          <c:y val="0.19269168026101141"/>
          <c:w val="0.89577316551141828"/>
          <c:h val="0.58525208410938845"/>
        </c:manualLayout>
      </c:layout>
      <c:barChart>
        <c:barDir val="col"/>
        <c:grouping val="clustered"/>
        <c:varyColors val="0"/>
        <c:ser>
          <c:idx val="0"/>
          <c:order val="0"/>
          <c:tx>
            <c:v>Årlig vækst</c:v>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Sheet1!$C$1:$L$1</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Sheet1!$C$21:$L$21</c:f>
              <c:numCache>
                <c:formatCode>0.0</c:formatCode>
                <c:ptCount val="10"/>
                <c:pt idx="0">
                  <c:v>11.503634308550037</c:v>
                </c:pt>
                <c:pt idx="1">
                  <c:v>3.7941102898367829</c:v>
                </c:pt>
                <c:pt idx="2">
                  <c:v>6.754561840273432</c:v>
                </c:pt>
                <c:pt idx="3">
                  <c:v>5.0521920011077137</c:v>
                </c:pt>
                <c:pt idx="4">
                  <c:v>1.2164804016530972</c:v>
                </c:pt>
                <c:pt idx="5">
                  <c:v>-1.6990201019761897</c:v>
                </c:pt>
                <c:pt idx="6">
                  <c:v>3.9201400122790941</c:v>
                </c:pt>
                <c:pt idx="7">
                  <c:v>1.8390736306761912</c:v>
                </c:pt>
                <c:pt idx="8">
                  <c:v>6.4486598123328687</c:v>
                </c:pt>
                <c:pt idx="9">
                  <c:v>3.5680535565082661</c:v>
                </c:pt>
              </c:numCache>
            </c:numRef>
          </c:val>
          <c:extLst>
            <c:ext xmlns:c16="http://schemas.microsoft.com/office/drawing/2014/chart" uri="{C3380CC4-5D6E-409C-BE32-E72D297353CC}">
              <c16:uniqueId val="{00000000-8043-B64B-A5D6-0700A823C55F}"/>
            </c:ext>
          </c:extLst>
        </c:ser>
        <c:dLbls>
          <c:showLegendKey val="0"/>
          <c:showVal val="0"/>
          <c:showCatName val="0"/>
          <c:showSerName val="0"/>
          <c:showPercent val="0"/>
          <c:showBubbleSize val="0"/>
        </c:dLbls>
        <c:gapWidth val="75"/>
        <c:overlap val="-25"/>
        <c:axId val="1959900015"/>
        <c:axId val="1959811983"/>
      </c:barChart>
      <c:lineChart>
        <c:grouping val="standard"/>
        <c:varyColors val="0"/>
        <c:ser>
          <c:idx val="1"/>
          <c:order val="1"/>
          <c:tx>
            <c:v>Gns Årlig vækst</c:v>
          </c:tx>
          <c:spPr>
            <a:ln w="22225" cap="rnd">
              <a:solidFill>
                <a:schemeClr val="accent6">
                  <a:lumMod val="60000"/>
                  <a:lumOff val="40000"/>
                </a:schemeClr>
              </a:solidFill>
              <a:round/>
            </a:ln>
            <a:effectLst/>
          </c:spPr>
          <c:marker>
            <c:symbol val="none"/>
          </c:marker>
          <c:val>
            <c:numRef>
              <c:f>Sheet1!$C$22:$L$22</c:f>
              <c:numCache>
                <c:formatCode>General</c:formatCode>
                <c:ptCount val="10"/>
                <c:pt idx="0">
                  <c:v>4.2</c:v>
                </c:pt>
                <c:pt idx="1">
                  <c:v>4.2</c:v>
                </c:pt>
                <c:pt idx="2">
                  <c:v>4.2</c:v>
                </c:pt>
                <c:pt idx="3">
                  <c:v>4.2</c:v>
                </c:pt>
                <c:pt idx="4">
                  <c:v>4.2</c:v>
                </c:pt>
                <c:pt idx="5">
                  <c:v>4.2</c:v>
                </c:pt>
                <c:pt idx="6">
                  <c:v>4.2</c:v>
                </c:pt>
                <c:pt idx="7">
                  <c:v>4.2</c:v>
                </c:pt>
                <c:pt idx="8">
                  <c:v>4.2</c:v>
                </c:pt>
                <c:pt idx="9">
                  <c:v>4.2</c:v>
                </c:pt>
              </c:numCache>
            </c:numRef>
          </c:val>
          <c:smooth val="0"/>
          <c:extLst>
            <c:ext xmlns:c16="http://schemas.microsoft.com/office/drawing/2014/chart" uri="{C3380CC4-5D6E-409C-BE32-E72D297353CC}">
              <c16:uniqueId val="{00000001-8043-B64B-A5D6-0700A823C55F}"/>
            </c:ext>
          </c:extLst>
        </c:ser>
        <c:dLbls>
          <c:showLegendKey val="0"/>
          <c:showVal val="0"/>
          <c:showCatName val="0"/>
          <c:showSerName val="0"/>
          <c:showPercent val="0"/>
          <c:showBubbleSize val="0"/>
        </c:dLbls>
        <c:marker val="1"/>
        <c:smooth val="0"/>
        <c:axId val="1959900015"/>
        <c:axId val="1959811983"/>
      </c:lineChart>
      <c:catAx>
        <c:axId val="1959900015"/>
        <c:scaling>
          <c:orientation val="minMax"/>
        </c:scaling>
        <c:delete val="0"/>
        <c:axPos val="b"/>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59811983"/>
        <c:crosses val="autoZero"/>
        <c:auto val="1"/>
        <c:lblAlgn val="ctr"/>
        <c:lblOffset val="100"/>
        <c:noMultiLvlLbl val="0"/>
      </c:catAx>
      <c:valAx>
        <c:axId val="1959811983"/>
        <c:scaling>
          <c:orientation val="minMax"/>
          <c:max val="12"/>
          <c:min val="-2"/>
        </c:scaling>
        <c:delete val="0"/>
        <c:axPos val="l"/>
        <c:majorGridlines>
          <c:spPr>
            <a:ln w="9525" cap="flat" cmpd="sng" algn="ctr">
              <a:solidFill>
                <a:schemeClr val="dk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59900015"/>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rawings/drawing1.xml><?xml version="1.0" encoding="utf-8"?>
<c:userShapes xmlns:c="http://schemas.openxmlformats.org/drawingml/2006/chart">
  <cdr:relSizeAnchor xmlns:cdr="http://schemas.openxmlformats.org/drawingml/2006/chartDrawing">
    <cdr:from>
      <cdr:x>0.05394</cdr:x>
      <cdr:y>0.85588</cdr:y>
    </cdr:from>
    <cdr:to>
      <cdr:x>0.88315</cdr:x>
      <cdr:y>0.95079</cdr:y>
    </cdr:to>
    <cdr:sp macro="" textlink="">
      <cdr:nvSpPr>
        <cdr:cNvPr id="2" name="TextBox 1">
          <a:extLst xmlns:a="http://schemas.openxmlformats.org/drawingml/2006/main">
            <a:ext uri="{FF2B5EF4-FFF2-40B4-BE49-F238E27FC236}">
              <a16:creationId xmlns:a16="http://schemas.microsoft.com/office/drawing/2014/main" id="{21E34608-925A-EB47-ADFB-1FB3B4551F97}"/>
            </a:ext>
          </a:extLst>
        </cdr:cNvPr>
        <cdr:cNvSpPr txBox="1"/>
      </cdr:nvSpPr>
      <cdr:spPr>
        <a:xfrm xmlns:a="http://schemas.openxmlformats.org/drawingml/2006/main">
          <a:off x="304817" y="3092439"/>
          <a:ext cx="4686280" cy="3429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baseline="0"/>
            <a:t>Kilde:STO s. 47 og 146</a:t>
          </a:r>
          <a:endParaRPr lang="en-GB" sz="800" i="1"/>
        </a:p>
      </cdr:txBody>
    </cdr:sp>
  </cdr:relSizeAnchor>
</c:userShapes>
</file>

<file path=word/drawings/drawing2.xml><?xml version="1.0" encoding="utf-8"?>
<c:userShapes xmlns:c="http://schemas.openxmlformats.org/drawingml/2006/chart">
  <cdr:relSizeAnchor xmlns:cdr="http://schemas.openxmlformats.org/drawingml/2006/chartDrawing">
    <cdr:from>
      <cdr:x>0.04958</cdr:x>
      <cdr:y>0.84614</cdr:y>
    </cdr:from>
    <cdr:to>
      <cdr:x>0.68014</cdr:x>
      <cdr:y>0.96945</cdr:y>
    </cdr:to>
    <cdr:sp macro="" textlink="">
      <cdr:nvSpPr>
        <cdr:cNvPr id="2" name="TextBox 1">
          <a:extLst xmlns:a="http://schemas.openxmlformats.org/drawingml/2006/main">
            <a:ext uri="{FF2B5EF4-FFF2-40B4-BE49-F238E27FC236}">
              <a16:creationId xmlns:a16="http://schemas.microsoft.com/office/drawing/2014/main" id="{247431E2-A5F2-184E-AB14-674E86BBAFC3}"/>
            </a:ext>
          </a:extLst>
        </cdr:cNvPr>
        <cdr:cNvSpPr txBox="1"/>
      </cdr:nvSpPr>
      <cdr:spPr>
        <a:xfrm xmlns:a="http://schemas.openxmlformats.org/drawingml/2006/main">
          <a:off x="252513" y="3293648"/>
          <a:ext cx="3211253" cy="47999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 De sidste tre år</a:t>
          </a:r>
          <a:r>
            <a:rPr lang="en-GB" sz="800" i="1" baseline="0"/>
            <a:t>(2017-2019) er stadig under revision </a:t>
          </a:r>
          <a:endParaRPr lang="en-GB" sz="800" i="1"/>
        </a:p>
        <a:p xmlns:a="http://schemas.openxmlformats.org/drawingml/2006/main">
          <a:r>
            <a:rPr lang="en-GB" sz="800" i="1"/>
            <a:t>Kilde:STO s. 123 og 125</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3</Pages>
  <Words>386</Words>
  <Characters>1962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7</cp:revision>
  <cp:lastPrinted>2020-11-03T09:00:00Z</cp:lastPrinted>
  <dcterms:created xsi:type="dcterms:W3CDTF">2020-11-03T09:00:00Z</dcterms:created>
  <dcterms:modified xsi:type="dcterms:W3CDTF">2020-11-17T08:54:00Z</dcterms:modified>
</cp:coreProperties>
</file>