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1D51" w:rsidRPr="00795721" w:rsidRDefault="001176C8">
      <w:pPr>
        <w:rPr>
          <w:lang w:val="da-DK"/>
        </w:rPr>
      </w:pPr>
      <w:r w:rsidRPr="00795721">
        <w:rPr>
          <w:lang w:val="da-DK"/>
        </w:rPr>
        <w:drawing>
          <wp:inline distT="0" distB="0" distL="0" distR="0" wp14:anchorId="50949CE3" wp14:editId="6CBFBB5C">
            <wp:extent cx="5731510" cy="4203700"/>
            <wp:effectExtent l="0" t="0" r="889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0942C6-B2BB-1844-B5EE-1A1C9A580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176C8" w:rsidRPr="00795721" w:rsidRDefault="00795721">
      <w:pPr>
        <w:rPr>
          <w:lang w:val="da-DK"/>
        </w:rPr>
      </w:pPr>
      <w:r w:rsidRPr="00795721">
        <w:rPr>
          <w:lang w:val="da-DK"/>
        </w:rPr>
        <w:t>Bolig er er størst med 30%. Derimod vægter Uddannelse kun en enkel procent, mens Kommunikation, alkoholiske drikke og sundhed vejer hhv. 2%, 3% og 3%</w:t>
      </w:r>
    </w:p>
    <w:p w:rsidR="001176C8" w:rsidRPr="00795721" w:rsidRDefault="001176C8">
      <w:pPr>
        <w:rPr>
          <w:lang w:val="da-DK"/>
        </w:rPr>
      </w:pPr>
    </w:p>
    <w:p w:rsidR="001176C8" w:rsidRPr="00795721" w:rsidRDefault="001176C8">
      <w:pPr>
        <w:rPr>
          <w:lang w:val="da-DK"/>
        </w:rPr>
      </w:pPr>
      <w:r w:rsidRPr="00795721">
        <w:rPr>
          <w:lang w:val="da-DK"/>
        </w:rPr>
        <w:drawing>
          <wp:inline distT="0" distB="0" distL="0" distR="0" wp14:anchorId="660AAFE5" wp14:editId="76342463">
            <wp:extent cx="5731510" cy="3654425"/>
            <wp:effectExtent l="0" t="0" r="889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39AE19-84B7-DE47-AA30-B560853D6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5721" w:rsidRDefault="00795721">
      <w:pPr>
        <w:rPr>
          <w:lang w:val="da-DK"/>
        </w:rPr>
      </w:pPr>
      <w:r w:rsidRPr="00795721">
        <w:rPr>
          <w:lang w:val="da-DK"/>
        </w:rPr>
        <w:t xml:space="preserve">Ved netto prisindekset vægter </w:t>
      </w:r>
      <w:r>
        <w:rPr>
          <w:lang w:val="da-DK"/>
        </w:rPr>
        <w:t xml:space="preserve">bolig mest. Det vægter </w:t>
      </w:r>
      <w:r w:rsidR="005D3004">
        <w:rPr>
          <w:lang w:val="da-DK"/>
        </w:rPr>
        <w:t xml:space="preserve">32%. I den anden ende findes uddannelse med 1%. Samtidig vægter kommunikation og alkoholiske drikke begge 2% </w:t>
      </w:r>
    </w:p>
    <w:p w:rsidR="00445CCA" w:rsidRDefault="00445CCA">
      <w:pPr>
        <w:rPr>
          <w:lang w:val="da-DK"/>
        </w:rPr>
      </w:pPr>
      <w:r>
        <w:rPr>
          <w:lang w:val="da-DK"/>
        </w:rPr>
        <w:lastRenderedPageBreak/>
        <w:t xml:space="preserve">Forbrugerindekset inflationen samfundet. Indekset beregnes ud fra markedspriserne, som forbrugerne betaler for varer og tjenester, som indgår i det private forbrug. Fordelingen af vægte er baseret på det samlede forbrug ifølge nationalregnskabet og forbrugsundersøgelser. EU har oprettet et forbrugerprisindeks, der </w:t>
      </w:r>
      <w:r w:rsidR="00CB7A7D">
        <w:rPr>
          <w:lang w:val="da-DK"/>
        </w:rPr>
        <w:t xml:space="preserve">gør det muligt at sammenligne alle EU's medlemsstater. </w:t>
      </w:r>
    </w:p>
    <w:p w:rsidR="00CB7A7D" w:rsidRDefault="00CB7A7D">
      <w:pPr>
        <w:rPr>
          <w:lang w:val="da-DK"/>
        </w:rPr>
      </w:pPr>
    </w:p>
    <w:p w:rsidR="00CB7A7D" w:rsidRDefault="00CB7A7D">
      <w:pPr>
        <w:rPr>
          <w:lang w:val="da-DK"/>
        </w:rPr>
      </w:pPr>
      <w:r>
        <w:rPr>
          <w:lang w:val="da-DK"/>
        </w:rPr>
        <w:t xml:space="preserve">Nettoprisindekset viser udviklingen i priser renset for indirekte skatter og afgifter. Det inkluderer pristilskud. Samtlige varer og tjenester i de private husholdningers forbrug indgår. Altså energi, fødevarer mv. </w:t>
      </w:r>
    </w:p>
    <w:p w:rsidR="00CB7A7D" w:rsidRDefault="00CB7A7D">
      <w:pPr>
        <w:rPr>
          <w:lang w:val="da-DK"/>
        </w:rPr>
      </w:pPr>
    </w:p>
    <w:p w:rsidR="00CB7A7D" w:rsidRDefault="00CB7A7D">
      <w:pPr>
        <w:rPr>
          <w:lang w:val="da-DK"/>
        </w:rPr>
      </w:pPr>
      <w:r>
        <w:rPr>
          <w:noProof/>
        </w:rPr>
        <w:drawing>
          <wp:inline distT="0" distB="0" distL="0" distR="0" wp14:anchorId="136EFDE9" wp14:editId="039FB7DA">
            <wp:extent cx="4572000" cy="30226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ACA645E-1D1F-204A-A45E-610400CCC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021B" w:rsidRDefault="0031021B">
      <w:pPr>
        <w:rPr>
          <w:lang w:val="da-DK"/>
        </w:rPr>
      </w:pPr>
    </w:p>
    <w:p w:rsidR="0031021B" w:rsidRDefault="00BD54FF">
      <w:pPr>
        <w:rPr>
          <w:lang w:val="da-DK"/>
        </w:rPr>
      </w:pPr>
      <w:r>
        <w:rPr>
          <w:lang w:val="da-DK"/>
        </w:rPr>
        <w:t>Udviklingen ved NPI er lavere</w:t>
      </w:r>
      <w:r w:rsidR="00016601">
        <w:rPr>
          <w:lang w:val="da-DK"/>
        </w:rPr>
        <w:t xml:space="preserve">, da det i forhold til forbrugerprisindekset, ikke indeholder </w:t>
      </w:r>
      <w:r w:rsidR="00701882">
        <w:rPr>
          <w:lang w:val="da-DK"/>
        </w:rPr>
        <w:t xml:space="preserve">indirekte skatter og afgifter. </w:t>
      </w:r>
      <w:r w:rsidR="00662AA2">
        <w:rPr>
          <w:lang w:val="da-DK"/>
        </w:rPr>
        <w:t xml:space="preserve">Her kan fx moms nævnes. Det er derfor lavere end forbrugerprisindekset. </w:t>
      </w:r>
    </w:p>
    <w:p w:rsidR="00BE3A0A" w:rsidRDefault="00BE3A0A">
      <w:pPr>
        <w:rPr>
          <w:lang w:val="da-DK"/>
        </w:rPr>
      </w:pPr>
    </w:p>
    <w:p w:rsidR="00BE3A0A" w:rsidRDefault="00BE3A0A">
      <w:pPr>
        <w:rPr>
          <w:lang w:val="da-DK"/>
        </w:rPr>
      </w:pPr>
      <w:r w:rsidRPr="00BE3A0A">
        <w:rPr>
          <w:lang w:val="da-DK"/>
        </w:rPr>
        <w:drawing>
          <wp:inline distT="0" distB="0" distL="0" distR="0" wp14:anchorId="59D3A74F" wp14:editId="0CF5155B">
            <wp:extent cx="573151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2" w:rsidRDefault="00402722">
      <w:pPr>
        <w:rPr>
          <w:lang w:val="da-DK"/>
        </w:rPr>
      </w:pPr>
    </w:p>
    <w:p w:rsidR="00402722" w:rsidRDefault="00EA247C">
      <w:pPr>
        <w:rPr>
          <w:lang w:val="da-DK"/>
        </w:rPr>
      </w:pPr>
      <w:r>
        <w:rPr>
          <w:lang w:val="da-DK"/>
        </w:rPr>
        <w:t xml:space="preserve">I 2012 skete der en regulering af flere forskellige afgifter, hvilket kan være </w:t>
      </w:r>
      <w:r w:rsidR="00E335DF">
        <w:rPr>
          <w:lang w:val="da-DK"/>
        </w:rPr>
        <w:t>årsagssammenhængen</w:t>
      </w:r>
      <w:r>
        <w:rPr>
          <w:lang w:val="da-DK"/>
        </w:rPr>
        <w:t xml:space="preserve"> til en stigning mellem 2011-2012 i alkohol og tobak i forbrugerprisindekset, men da NPI ikke medregner indirekte skatter, opfanges det ikke her. </w:t>
      </w:r>
    </w:p>
    <w:p w:rsidR="00E335DF" w:rsidRDefault="00E335DF">
      <w:pPr>
        <w:rPr>
          <w:lang w:val="da-DK"/>
        </w:rPr>
      </w:pPr>
    </w:p>
    <w:p w:rsidR="00E335DF" w:rsidRDefault="00E335DF">
      <w:pPr>
        <w:rPr>
          <w:lang w:val="da-DK"/>
        </w:rPr>
      </w:pPr>
    </w:p>
    <w:p w:rsidR="00EC5578" w:rsidRDefault="00EC5578">
      <w:pPr>
        <w:rPr>
          <w:lang w:val="da-DK"/>
        </w:rPr>
      </w:pPr>
    </w:p>
    <w:p w:rsidR="00991A5A" w:rsidRDefault="00991A5A">
      <w:pPr>
        <w:rPr>
          <w:lang w:val="da-DK"/>
        </w:rPr>
      </w:pPr>
    </w:p>
    <w:p w:rsidR="00CB7A7D" w:rsidRDefault="00CB7A7D">
      <w:pPr>
        <w:rPr>
          <w:lang w:val="da-DK"/>
        </w:rPr>
      </w:pPr>
    </w:p>
    <w:p w:rsidR="00CB7A7D" w:rsidRDefault="00CB7A7D">
      <w:pPr>
        <w:rPr>
          <w:lang w:val="da-DK"/>
        </w:rPr>
      </w:pPr>
    </w:p>
    <w:p w:rsidR="00445CCA" w:rsidRDefault="00445CCA">
      <w:pPr>
        <w:rPr>
          <w:lang w:val="da-DK"/>
        </w:rPr>
      </w:pPr>
    </w:p>
    <w:p w:rsidR="00445CCA" w:rsidRDefault="00445CCA">
      <w:pPr>
        <w:rPr>
          <w:lang w:val="da-DK"/>
        </w:rPr>
      </w:pPr>
    </w:p>
    <w:p w:rsidR="00445CCA" w:rsidRPr="00795721" w:rsidRDefault="00445CCA">
      <w:pPr>
        <w:rPr>
          <w:lang w:val="da-DK"/>
        </w:rPr>
      </w:pPr>
    </w:p>
    <w:sectPr w:rsidR="00445CCA" w:rsidRPr="0079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43">
      <wne:macro wne:macroName="PROJECT.MAXIMA.BEREGN"/>
    </wne:keymap>
    <wne:keymap wne:kcmPrimary="0844">
      <wne:macro wne:macroName="PROJECT.DIVERSE.INSERTDEFINER"/>
    </wne:keymap>
    <wne:keymap wne:kcmPrimary="0845">
      <wne:macro wne:macroName="PROJECT.MAXIMA.MAXIMASOLVE"/>
    </wne:keymap>
    <wne:keymap wne:kcmPrimary="0846">
      <wne:macro wne:macroName="PROJECT.DIVERSE.INSERTSLETDEF"/>
    </wne:keymap>
    <wne:keymap wne:kcmPrimary="0847">
      <wne:macro wne:macroName="PROJECT.OPRETMATHMENU.GANGE"/>
    </wne:keymap>
    <wne:keymap wne:kcmPrimary="084D">
      <wne:macro wne:macroName="PROJECT.DIVERSE.NEWEQUATION"/>
    </wne:keymap>
    <wne:keymap wne:kcmPrimary="084E">
      <wne:macro wne:macroName="PROJECT.DIVERSE.TOGGLENUM"/>
    </wne:keymap>
    <wne:keymap wne:kcmPrimary="084F">
      <wne:macro wne:macroName="PROJECT.OPRETMATHMENU.MAXIMASETTINGS"/>
    </wne:keymap>
    <wne:keymap wne:kcmPrimary="0850">
      <wne:macro wne:macroName="PROJECT.GRAFER.STANDARDPLOT"/>
    </wne:keymap>
    <wne:keymap wne:kcmPrimary="0852">
      <wne:macro wne:macroName="PROJECT.DIVERSE.FORRIGERESULTAT"/>
    </wne:keymap>
    <wne:keymap wne:kcmPrimary="0853">
      <wne:macro wne:macroName="PROJECT.MAXIMA.OMSKRIV"/>
    </wne:keymap>
    <wne:keymap wne:kcmPrimary="0854">
      <wne:macro wne:macroName="PROJECT.DIVERSE.TOGGLELATEX"/>
    </wne:keymap>
    <wne:keymap wne:kcmPrimary="0855">
      <wne:macro wne:macroName="PROJECT.DIVERSE.TOGGLEUNITS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11"/>
    <w:rsid w:val="00016601"/>
    <w:rsid w:val="001176C8"/>
    <w:rsid w:val="0031021B"/>
    <w:rsid w:val="003D3118"/>
    <w:rsid w:val="00402722"/>
    <w:rsid w:val="00445CCA"/>
    <w:rsid w:val="005D3004"/>
    <w:rsid w:val="00662AA2"/>
    <w:rsid w:val="00701882"/>
    <w:rsid w:val="00795721"/>
    <w:rsid w:val="00906D75"/>
    <w:rsid w:val="00991A5A"/>
    <w:rsid w:val="00BD54FF"/>
    <w:rsid w:val="00BE3A0A"/>
    <w:rsid w:val="00CB7A7D"/>
    <w:rsid w:val="00D21D51"/>
    <w:rsid w:val="00E11711"/>
    <w:rsid w:val="00E335DF"/>
    <w:rsid w:val="00E9485B"/>
    <w:rsid w:val="00EA247C"/>
    <w:rsid w:val="00EC5578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F0321"/>
  <w15:chartTrackingRefBased/>
  <w15:docId w15:val="{14076F23-33CF-584E-B45C-E060D81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C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BE3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wnloads/14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wnloads/14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wnloads/146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1. Forbrugerprisindekset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2A-2F48-B570-CDEE84ED66F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62A-2F48-B570-CDEE84ED66F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62A-2F48-B570-CDEE84ED66F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62A-2F48-B570-CDEE84ED66F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362A-2F48-B570-CDEE84ED66F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62A-2F48-B570-CDEE84ED66F5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62A-2F48-B570-CDEE84ED66F5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362A-2F48-B570-CDEE84ED66F5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362A-2F48-B570-CDEE84ED66F5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362A-2F48-B570-CDEE84ED66F5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362A-2F48-B570-CDEE84ED66F5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7-362A-2F48-B570-CDEE84ED66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'Ark1'!$N$6:$N$17</c:f>
              <c:strCache>
                <c:ptCount val="12"/>
                <c:pt idx="0">
                  <c:v>Fødevarer og ikke-alkoholiske drikkevarer  </c:v>
                </c:pt>
                <c:pt idx="1">
                  <c:v>Alkoholiske drikkevarer og tobak  </c:v>
                </c:pt>
                <c:pt idx="2">
                  <c:v>Beklædning og fodtøj  </c:v>
                </c:pt>
                <c:pt idx="3">
                  <c:v>Bolig  </c:v>
                </c:pt>
                <c:pt idx="4">
                  <c:v>Boligudstyr, husholdningstjenester  </c:v>
                </c:pt>
                <c:pt idx="5">
                  <c:v>Sundhed  </c:v>
                </c:pt>
                <c:pt idx="6">
                  <c:v>Transport  </c:v>
                </c:pt>
                <c:pt idx="7">
                  <c:v>Kommunikation  </c:v>
                </c:pt>
                <c:pt idx="8">
                  <c:v>Fritid og kultur  </c:v>
                </c:pt>
                <c:pt idx="9">
                  <c:v>Uddannelse  </c:v>
                </c:pt>
                <c:pt idx="10">
                  <c:v>Restauranter og hoteller  </c:v>
                </c:pt>
                <c:pt idx="11">
                  <c:v>Andre varer og tjenester  </c:v>
                </c:pt>
              </c:strCache>
            </c:strRef>
          </c:cat>
          <c:val>
            <c:numRef>
              <c:f>'Ark1'!$O$6:$O$17</c:f>
              <c:numCache>
                <c:formatCode>General</c:formatCode>
                <c:ptCount val="12"/>
                <c:pt idx="0">
                  <c:v>11.84</c:v>
                </c:pt>
                <c:pt idx="1">
                  <c:v>3.28</c:v>
                </c:pt>
                <c:pt idx="2">
                  <c:v>4.37</c:v>
                </c:pt>
                <c:pt idx="3">
                  <c:v>29.72</c:v>
                </c:pt>
                <c:pt idx="4">
                  <c:v>5.34</c:v>
                </c:pt>
                <c:pt idx="5">
                  <c:v>2.98</c:v>
                </c:pt>
                <c:pt idx="6">
                  <c:v>12.41</c:v>
                </c:pt>
                <c:pt idx="7">
                  <c:v>2.12</c:v>
                </c:pt>
                <c:pt idx="8">
                  <c:v>11.31</c:v>
                </c:pt>
                <c:pt idx="9">
                  <c:v>0.85</c:v>
                </c:pt>
                <c:pt idx="10">
                  <c:v>6.28</c:v>
                </c:pt>
                <c:pt idx="11">
                  <c:v>9.51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362A-2F48-B570-CDEE84ED66F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2. Nettoprisindekset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F9B3-6F4F-AC2D-D2AD57D99E1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F9B3-6F4F-AC2D-D2AD57D99E1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F9B3-6F4F-AC2D-D2AD57D99E1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F9B3-6F4F-AC2D-D2AD57D99E1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F9B3-6F4F-AC2D-D2AD57D99E1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9B3-6F4F-AC2D-D2AD57D99E1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9B3-6F4F-AC2D-D2AD57D99E1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F9B3-6F4F-AC2D-D2AD57D99E1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F9B3-6F4F-AC2D-D2AD57D99E1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F9B3-6F4F-AC2D-D2AD57D99E1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F9B3-6F4F-AC2D-D2AD57D99E1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7-F9B3-6F4F-AC2D-D2AD57D99E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'Ark1'!$N$33:$N$44</c:f>
              <c:strCache>
                <c:ptCount val="12"/>
                <c:pt idx="0">
                  <c:v>Fødevarer og ikke-alkoholiske drikkevarer  </c:v>
                </c:pt>
                <c:pt idx="1">
                  <c:v>Alkoholiske drikkevarer og tobak  </c:v>
                </c:pt>
                <c:pt idx="2">
                  <c:v>Beklædning og fodtøj  </c:v>
                </c:pt>
                <c:pt idx="3">
                  <c:v>Bolig  </c:v>
                </c:pt>
                <c:pt idx="4">
                  <c:v>Boligudstyr, husholdningstjenester  </c:v>
                </c:pt>
                <c:pt idx="5">
                  <c:v>Sundhed  </c:v>
                </c:pt>
                <c:pt idx="6">
                  <c:v>Transport  </c:v>
                </c:pt>
                <c:pt idx="7">
                  <c:v>Kommunikation  </c:v>
                </c:pt>
                <c:pt idx="8">
                  <c:v>Fritid og kultur  </c:v>
                </c:pt>
                <c:pt idx="9">
                  <c:v>Uddannelse  </c:v>
                </c:pt>
                <c:pt idx="10">
                  <c:v>Restauranter og hoteller  </c:v>
                </c:pt>
                <c:pt idx="11">
                  <c:v>Andre varer og tjenester  </c:v>
                </c:pt>
              </c:strCache>
            </c:strRef>
          </c:cat>
          <c:val>
            <c:numRef>
              <c:f>'Ark1'!$O$33:$O$44</c:f>
              <c:numCache>
                <c:formatCode>General</c:formatCode>
                <c:ptCount val="12"/>
                <c:pt idx="0">
                  <c:v>10.99</c:v>
                </c:pt>
                <c:pt idx="1">
                  <c:v>1.63</c:v>
                </c:pt>
                <c:pt idx="2">
                  <c:v>4.2</c:v>
                </c:pt>
                <c:pt idx="3">
                  <c:v>32.01</c:v>
                </c:pt>
                <c:pt idx="4">
                  <c:v>5.14</c:v>
                </c:pt>
                <c:pt idx="5">
                  <c:v>4.87</c:v>
                </c:pt>
                <c:pt idx="6">
                  <c:v>10.26</c:v>
                </c:pt>
                <c:pt idx="7">
                  <c:v>2.0499999999999998</c:v>
                </c:pt>
                <c:pt idx="8">
                  <c:v>11.46</c:v>
                </c:pt>
                <c:pt idx="9">
                  <c:v>1.03</c:v>
                </c:pt>
                <c:pt idx="10">
                  <c:v>6.04</c:v>
                </c:pt>
                <c:pt idx="11">
                  <c:v>10.33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9B3-6F4F-AC2D-D2AD57D99E1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3</a:t>
            </a:r>
            <a:r>
              <a:rPr lang="en-GB" baseline="0"/>
              <a:t>. </a:t>
            </a:r>
            <a:r>
              <a:rPr lang="en-GB"/>
              <a:t>Årlig</a:t>
            </a:r>
            <a:r>
              <a:rPr lang="en-GB" baseline="0"/>
              <a:t> relativ ændring i netto- og forbrugerprisindekset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761592300962382E-2"/>
          <c:y val="0.15584033613445378"/>
          <c:w val="0.87868285214348207"/>
          <c:h val="0.612758883080791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'Ark1'!$A$4</c:f>
              <c:strCache>
                <c:ptCount val="1"/>
                <c:pt idx="0">
                  <c:v>Relativ ændring, FPI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'Ark1'!$C$30:$L$30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'Ark1'!$C$4:$L$4</c:f>
              <c:numCache>
                <c:formatCode>0.0%</c:formatCode>
                <c:ptCount val="10"/>
                <c:pt idx="0">
                  <c:v>2.3026315789473673E-2</c:v>
                </c:pt>
                <c:pt idx="1">
                  <c:v>2.7867095391211238E-2</c:v>
                </c:pt>
                <c:pt idx="2">
                  <c:v>2.3983315954118734E-2</c:v>
                </c:pt>
                <c:pt idx="3">
                  <c:v>8.1466395112015366E-3</c:v>
                </c:pt>
                <c:pt idx="4">
                  <c:v>6.0606060606060996E-3</c:v>
                </c:pt>
                <c:pt idx="5">
                  <c:v>4.0160642570281624E-3</c:v>
                </c:pt>
                <c:pt idx="6">
                  <c:v>2.9999999999998916E-3</c:v>
                </c:pt>
                <c:pt idx="7">
                  <c:v>1.0967098703888345E-2</c:v>
                </c:pt>
                <c:pt idx="8">
                  <c:v>7.8895463510848529E-3</c:v>
                </c:pt>
                <c:pt idx="9">
                  <c:v>7.8277886497064575E-3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D6-6645-BDC9-9329458456DC}"/>
            </c:ext>
          </c:extLst>
        </c:ser>
        <c:ser>
          <c:idx val="1"/>
          <c:order val="1"/>
          <c:tx>
            <c:strRef>
              <c:f>'Ark1'!$A$31</c:f>
              <c:strCache>
                <c:ptCount val="1"/>
                <c:pt idx="0">
                  <c:v>Relativ ændring, NPI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'Ark1'!$C$30:$L$30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'Ark1'!$C$31:$L$31</c:f>
              <c:numCache>
                <c:formatCode>0.0%</c:formatCode>
                <c:ptCount val="10"/>
                <c:pt idx="0">
                  <c:v>2.0719738276990141E-2</c:v>
                </c:pt>
                <c:pt idx="1">
                  <c:v>2.5641025641025772E-2</c:v>
                </c:pt>
                <c:pt idx="2">
                  <c:v>1.8750000000000044E-2</c:v>
                </c:pt>
                <c:pt idx="3">
                  <c:v>8.1799591002045258E-3</c:v>
                </c:pt>
                <c:pt idx="4">
                  <c:v>8.113590263691739E-3</c:v>
                </c:pt>
                <c:pt idx="5">
                  <c:v>6.0362173038228661E-3</c:v>
                </c:pt>
                <c:pt idx="6">
                  <c:v>4.9999999999998934E-3</c:v>
                </c:pt>
                <c:pt idx="7">
                  <c:v>1.194029850746281E-2</c:v>
                </c:pt>
                <c:pt idx="8">
                  <c:v>8.8495575221239076E-3</c:v>
                </c:pt>
                <c:pt idx="9">
                  <c:v>8.7719298245614308E-3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D6-6645-BDC9-932945845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8795855"/>
        <c:axId val="1569638479"/>
      </c:barChart>
      <c:catAx>
        <c:axId val="156879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638479"/>
        <c:crosses val="autoZero"/>
        <c:auto val="1"/>
        <c:lblAlgn val="ctr"/>
        <c:lblOffset val="100"/>
        <c:noMultiLvlLbl val="0"/>
      </c:catAx>
      <c:valAx>
        <c:axId val="156963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79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0.05278</cdr:x>
      <cdr:y>0.85714</cdr:y>
    </cdr:from>
    <cdr:to>
      <cdr:x>0.33889</cdr:x>
      <cdr:y>0.92437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4B9C48E-51A6-4742-8B87-83BF13DA2BE4}"/>
            </a:ext>
          </a:extLst>
        </cdr:cNvPr>
        <cdr:cNvSpPr txBox="1"/>
      </cdr:nvSpPr>
      <cdr:spPr>
        <a:xfrm xmlns:a="http://schemas.openxmlformats.org/drawingml/2006/main">
          <a:off x="241300" y="2590800"/>
          <a:ext cx="1308100" cy="203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 i="1"/>
            <a:t>Kilde:</a:t>
          </a:r>
          <a:r>
            <a:rPr lang="en-GB" sz="800" i="1" baseline="0"/>
            <a:t> STO s. 146</a:t>
          </a:r>
          <a:endParaRPr lang="en-GB" sz="800" i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M11.docx</Template>
  <TotalTime>22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16</cp:revision>
  <dcterms:created xsi:type="dcterms:W3CDTF">2020-10-25T12:54:00Z</dcterms:created>
  <dcterms:modified xsi:type="dcterms:W3CDTF">2020-11-19T08:48:00Z</dcterms:modified>
</cp:coreProperties>
</file>