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9F6EB" w14:textId="5CD92BCA" w:rsidR="0078216F" w:rsidRDefault="008F48F9" w:rsidP="000B5192">
      <w:pPr>
        <w:rPr>
          <w:b/>
          <w:bCs/>
        </w:rPr>
      </w:pPr>
      <w:r>
        <w:rPr>
          <w:b/>
          <w:bCs/>
        </w:rPr>
        <w:t>1</w:t>
      </w:r>
      <w:r w:rsidR="00A14505">
        <w:rPr>
          <w:b/>
          <w:bCs/>
        </w:rPr>
        <w:t>.1</w:t>
      </w:r>
    </w:p>
    <w:p w14:paraId="13FDD45E" w14:textId="0FA0114E" w:rsidR="00544608" w:rsidRDefault="00544608" w:rsidP="000B5192">
      <w:r>
        <w:t xml:space="preserve"> </w:t>
      </w:r>
      <w:r>
        <w:rPr>
          <w:noProof/>
        </w:rPr>
        <w:drawing>
          <wp:inline distT="0" distB="0" distL="0" distR="0" wp14:anchorId="71D518E8" wp14:editId="6CFF0CEF">
            <wp:extent cx="5731510" cy="160401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604010"/>
                    </a:xfrm>
                    <a:prstGeom prst="rect">
                      <a:avLst/>
                    </a:prstGeom>
                  </pic:spPr>
                </pic:pic>
              </a:graphicData>
            </a:graphic>
          </wp:inline>
        </w:drawing>
      </w:r>
    </w:p>
    <w:p w14:paraId="0AC4A725" w14:textId="5D6EEE5D" w:rsidR="00544608" w:rsidRDefault="00544608" w:rsidP="000B5192">
      <w:pPr>
        <w:rPr>
          <w:lang w:val="da-DK"/>
        </w:rPr>
      </w:pPr>
      <w:r w:rsidRPr="00544608">
        <w:rPr>
          <w:lang w:val="da-DK"/>
        </w:rPr>
        <w:t>Ovenstående viser de positive og negat</w:t>
      </w:r>
      <w:r>
        <w:rPr>
          <w:lang w:val="da-DK"/>
        </w:rPr>
        <w:t xml:space="preserve">ive </w:t>
      </w:r>
      <w:proofErr w:type="spellStart"/>
      <w:r>
        <w:rPr>
          <w:lang w:val="da-DK"/>
        </w:rPr>
        <w:t>cash-flows</w:t>
      </w:r>
      <w:proofErr w:type="spellEnd"/>
      <w:r>
        <w:rPr>
          <w:lang w:val="da-DK"/>
        </w:rPr>
        <w:t xml:space="preserve"> ved investeringen i hønsehuset. </w:t>
      </w:r>
    </w:p>
    <w:p w14:paraId="0CE83B9D" w14:textId="0708BF16" w:rsidR="00544608" w:rsidRDefault="00544608" w:rsidP="000B5192">
      <w:pPr>
        <w:rPr>
          <w:rFonts w:eastAsiaTheme="minorEastAsia"/>
          <w:lang w:val="da-DK"/>
        </w:rPr>
      </w:pPr>
      <w:r>
        <w:rPr>
          <w:lang w:val="da-DK"/>
        </w:rPr>
        <w:t xml:space="preserve">Kapitalværdien er beregnet til </w:t>
      </w:r>
      <m:oMath>
        <m:r>
          <w:rPr>
            <w:rFonts w:ascii="Cambria Math" w:hAnsi="Cambria Math"/>
            <w:lang w:val="da-DK"/>
          </w:rPr>
          <m:t>2.174,26 DKK</m:t>
        </m:r>
      </m:oMath>
      <w:r>
        <w:rPr>
          <w:rFonts w:eastAsiaTheme="minorEastAsia"/>
          <w:lang w:val="da-DK"/>
        </w:rPr>
        <w:t xml:space="preserve">. Dette kan tolkes som den ekstra gevinst ved at investere i projektet fremfor ved kalkulationsrenten. Den interne rente, der beskriver, når kapitalværdien er lig nul er </w:t>
      </w:r>
      <m:oMath>
        <m:r>
          <w:rPr>
            <w:rFonts w:ascii="Cambria Math" w:eastAsiaTheme="minorEastAsia" w:hAnsi="Cambria Math"/>
            <w:lang w:val="da-DK"/>
          </w:rPr>
          <m:t>10,3%</m:t>
        </m:r>
      </m:oMath>
    </w:p>
    <w:p w14:paraId="759758F3" w14:textId="4A3C57B1" w:rsidR="00544608" w:rsidRDefault="00544608" w:rsidP="000B5192">
      <w:pPr>
        <w:rPr>
          <w:rFonts w:eastAsiaTheme="minorEastAsia"/>
          <w:lang w:val="da-DK"/>
        </w:rPr>
      </w:pPr>
    </w:p>
    <w:p w14:paraId="07FCED0F" w14:textId="66B23175" w:rsidR="00544608" w:rsidRDefault="00544608" w:rsidP="000B5192">
      <w:pPr>
        <w:rPr>
          <w:rFonts w:eastAsiaTheme="minorEastAsia"/>
          <w:lang w:val="da-DK"/>
        </w:rPr>
      </w:pPr>
      <w:r>
        <w:rPr>
          <w:rFonts w:eastAsiaTheme="minorEastAsia"/>
          <w:lang w:val="da-DK"/>
        </w:rPr>
        <w:t xml:space="preserve">Når kapitalværdien er positiv, skal </w:t>
      </w:r>
      <w:r w:rsidR="008F48F9">
        <w:rPr>
          <w:rFonts w:eastAsiaTheme="minorEastAsia"/>
          <w:lang w:val="da-DK"/>
        </w:rPr>
        <w:t xml:space="preserve">investeringen gennemføres, </w:t>
      </w:r>
      <w:proofErr w:type="spellStart"/>
      <w:r w:rsidR="008F48F9">
        <w:rPr>
          <w:rFonts w:eastAsiaTheme="minorEastAsia"/>
          <w:lang w:val="da-DK"/>
        </w:rPr>
        <w:t>pga</w:t>
      </w:r>
      <w:proofErr w:type="spellEnd"/>
      <w:r w:rsidR="008F48F9">
        <w:rPr>
          <w:rFonts w:eastAsiaTheme="minorEastAsia"/>
          <w:lang w:val="da-DK"/>
        </w:rPr>
        <w:t xml:space="preserve"> større afkast end investering ved kalkulationsrenten. </w:t>
      </w:r>
    </w:p>
    <w:p w14:paraId="5D204D2A" w14:textId="3B3D382C" w:rsidR="008F48F9" w:rsidRDefault="008F48F9" w:rsidP="000B5192">
      <w:pPr>
        <w:rPr>
          <w:rFonts w:eastAsiaTheme="minorEastAsia"/>
          <w:lang w:val="da-DK"/>
        </w:rPr>
      </w:pPr>
    </w:p>
    <w:p w14:paraId="36A0C9C0" w14:textId="2A8661A2" w:rsidR="008F48F9" w:rsidRDefault="008F48F9" w:rsidP="000B5192">
      <w:pPr>
        <w:rPr>
          <w:rFonts w:eastAsiaTheme="minorEastAsia"/>
          <w:b/>
          <w:bCs/>
          <w:lang w:val="da-DK"/>
        </w:rPr>
      </w:pPr>
      <w:r>
        <w:rPr>
          <w:rFonts w:eastAsiaTheme="minorEastAsia"/>
          <w:b/>
          <w:bCs/>
          <w:lang w:val="da-DK"/>
        </w:rPr>
        <w:t>1.2</w:t>
      </w:r>
    </w:p>
    <w:p w14:paraId="005C4E8F" w14:textId="6BD91D8F" w:rsidR="00F11318" w:rsidRDefault="00F11318" w:rsidP="000B5192">
      <w:pPr>
        <w:rPr>
          <w:rFonts w:eastAsiaTheme="minorEastAsia"/>
          <w:b/>
          <w:bCs/>
          <w:lang w:val="da-DK"/>
        </w:rPr>
      </w:pPr>
    </w:p>
    <w:p w14:paraId="034FD9B5" w14:textId="2D03390B" w:rsidR="00F11318" w:rsidRPr="00F11318" w:rsidRDefault="00F11318" w:rsidP="000B5192">
      <w:pPr>
        <w:rPr>
          <w:rFonts w:eastAsiaTheme="minorEastAsia"/>
          <w:lang w:val="da-DK"/>
        </w:rPr>
      </w:pPr>
      <w:r>
        <w:rPr>
          <w:rFonts w:eastAsiaTheme="minorEastAsia"/>
          <w:lang w:val="da-DK"/>
        </w:rPr>
        <w:t>Værdierne beregnet for Hønsemaster Deluxe er følgende</w:t>
      </w:r>
    </w:p>
    <w:p w14:paraId="7C717E6F" w14:textId="6FB03655" w:rsidR="008F48F9" w:rsidRDefault="00F11318" w:rsidP="000B5192">
      <w:pPr>
        <w:rPr>
          <w:lang w:val="da-DK"/>
        </w:rPr>
      </w:pPr>
      <w:r>
        <w:rPr>
          <w:noProof/>
          <w:lang w:val="da-DK"/>
        </w:rPr>
        <w:drawing>
          <wp:inline distT="0" distB="0" distL="0" distR="0" wp14:anchorId="7183C805" wp14:editId="1DB7AD77">
            <wp:extent cx="2222500" cy="10541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2500" cy="1054100"/>
                    </a:xfrm>
                    <a:prstGeom prst="rect">
                      <a:avLst/>
                    </a:prstGeom>
                  </pic:spPr>
                </pic:pic>
              </a:graphicData>
            </a:graphic>
          </wp:inline>
        </w:drawing>
      </w:r>
    </w:p>
    <w:p w14:paraId="2547071D" w14:textId="721C304F" w:rsidR="00F11318" w:rsidRDefault="00F11318" w:rsidP="000B5192">
      <w:pPr>
        <w:rPr>
          <w:lang w:val="da-DK"/>
        </w:rPr>
      </w:pPr>
      <w:r>
        <w:rPr>
          <w:lang w:val="da-DK"/>
        </w:rPr>
        <w:t xml:space="preserve">Men værdierne for </w:t>
      </w:r>
      <w:proofErr w:type="spellStart"/>
      <w:r>
        <w:rPr>
          <w:lang w:val="da-DK"/>
        </w:rPr>
        <w:t>Egg</w:t>
      </w:r>
      <w:proofErr w:type="spellEnd"/>
      <w:r>
        <w:rPr>
          <w:lang w:val="da-DK"/>
        </w:rPr>
        <w:t xml:space="preserve"> Factory er beregnet til følgende. </w:t>
      </w:r>
    </w:p>
    <w:p w14:paraId="3E76318C" w14:textId="1842C92B" w:rsidR="00F11318" w:rsidRDefault="00F11318" w:rsidP="000B5192">
      <w:pPr>
        <w:rPr>
          <w:lang w:val="da-DK"/>
        </w:rPr>
      </w:pPr>
      <w:r>
        <w:rPr>
          <w:noProof/>
          <w:lang w:val="da-DK"/>
        </w:rPr>
        <w:drawing>
          <wp:inline distT="0" distB="0" distL="0" distR="0" wp14:anchorId="6ADDA01A" wp14:editId="51BB4494">
            <wp:extent cx="2222500" cy="1041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2500" cy="1041400"/>
                    </a:xfrm>
                    <a:prstGeom prst="rect">
                      <a:avLst/>
                    </a:prstGeom>
                  </pic:spPr>
                </pic:pic>
              </a:graphicData>
            </a:graphic>
          </wp:inline>
        </w:drawing>
      </w:r>
    </w:p>
    <w:p w14:paraId="552C4392" w14:textId="6390C591" w:rsidR="00F11318" w:rsidRDefault="00F11318" w:rsidP="000B5192">
      <w:pPr>
        <w:rPr>
          <w:lang w:val="da-DK"/>
        </w:rPr>
      </w:pPr>
    </w:p>
    <w:p w14:paraId="6C7570B2" w14:textId="7DD788FF" w:rsidR="00F11318" w:rsidRDefault="00F11318" w:rsidP="000B5192">
      <w:pPr>
        <w:rPr>
          <w:rFonts w:eastAsiaTheme="minorEastAsia"/>
          <w:lang w:val="da-DK"/>
        </w:rPr>
      </w:pPr>
      <w:r>
        <w:rPr>
          <w:lang w:val="da-DK"/>
        </w:rPr>
        <w:t xml:space="preserve">Kapitalværdierne er derfor </w:t>
      </w:r>
      <m:oMath>
        <m:r>
          <w:rPr>
            <w:rFonts w:ascii="Cambria Math" w:hAnsi="Cambria Math"/>
            <w:lang w:val="da-DK"/>
          </w:rPr>
          <m:t>2.354,5 DKK</m:t>
        </m:r>
      </m:oMath>
      <w:r>
        <w:rPr>
          <w:rFonts w:eastAsiaTheme="minorEastAsia"/>
          <w:lang w:val="da-DK"/>
        </w:rPr>
        <w:t xml:space="preserve"> og </w:t>
      </w:r>
      <m:oMath>
        <m:r>
          <w:rPr>
            <w:rFonts w:ascii="Cambria Math" w:eastAsiaTheme="minorEastAsia" w:hAnsi="Cambria Math"/>
            <w:lang w:val="da-DK"/>
          </w:rPr>
          <m:t>-2760 DKK</m:t>
        </m:r>
      </m:oMath>
      <w:r>
        <w:rPr>
          <w:rFonts w:eastAsiaTheme="minorEastAsia"/>
          <w:lang w:val="da-DK"/>
        </w:rPr>
        <w:t xml:space="preserve"> for hhv. Hønsemaster </w:t>
      </w:r>
      <w:r w:rsidR="007863C0">
        <w:rPr>
          <w:rFonts w:eastAsiaTheme="minorEastAsia"/>
          <w:lang w:val="da-DK"/>
        </w:rPr>
        <w:t>D</w:t>
      </w:r>
      <w:r>
        <w:rPr>
          <w:rFonts w:eastAsiaTheme="minorEastAsia"/>
          <w:lang w:val="da-DK"/>
        </w:rPr>
        <w:t xml:space="preserve">eluxe og </w:t>
      </w:r>
      <w:proofErr w:type="spellStart"/>
      <w:r>
        <w:rPr>
          <w:rFonts w:eastAsiaTheme="minorEastAsia"/>
          <w:lang w:val="da-DK"/>
        </w:rPr>
        <w:t>Egg</w:t>
      </w:r>
      <w:proofErr w:type="spellEnd"/>
      <w:r>
        <w:rPr>
          <w:rFonts w:eastAsiaTheme="minorEastAsia"/>
          <w:lang w:val="da-DK"/>
        </w:rPr>
        <w:t xml:space="preserve"> Factory. Derimod er de interne renter fundet til </w:t>
      </w:r>
      <m:oMath>
        <m:r>
          <w:rPr>
            <w:rFonts w:ascii="Cambria Math" w:eastAsiaTheme="minorEastAsia" w:hAnsi="Cambria Math"/>
            <w:lang w:val="da-DK"/>
          </w:rPr>
          <m:t>8,76%</m:t>
        </m:r>
      </m:oMath>
      <w:r>
        <w:rPr>
          <w:rFonts w:eastAsiaTheme="minorEastAsia"/>
          <w:lang w:val="da-DK"/>
        </w:rPr>
        <w:t xml:space="preserve"> og </w:t>
      </w:r>
      <m:oMath>
        <m:r>
          <w:rPr>
            <w:rFonts w:ascii="Cambria Math" w:eastAsiaTheme="minorEastAsia" w:hAnsi="Cambria Math"/>
            <w:lang w:val="da-DK"/>
          </w:rPr>
          <m:t>2,38%</m:t>
        </m:r>
      </m:oMath>
      <w:r>
        <w:rPr>
          <w:rFonts w:eastAsiaTheme="minorEastAsia"/>
          <w:lang w:val="da-DK"/>
        </w:rPr>
        <w:t xml:space="preserve"> for </w:t>
      </w:r>
      <w:proofErr w:type="spellStart"/>
      <w:r>
        <w:rPr>
          <w:rFonts w:eastAsiaTheme="minorEastAsia"/>
          <w:lang w:val="da-DK"/>
        </w:rPr>
        <w:t>hvhv</w:t>
      </w:r>
      <w:proofErr w:type="spellEnd"/>
      <w:r>
        <w:rPr>
          <w:rFonts w:eastAsiaTheme="minorEastAsia"/>
          <w:lang w:val="da-DK"/>
        </w:rPr>
        <w:t xml:space="preserve">. Hønsemaster Deluxe og </w:t>
      </w:r>
      <w:proofErr w:type="spellStart"/>
      <w:r>
        <w:rPr>
          <w:rFonts w:eastAsiaTheme="minorEastAsia"/>
          <w:lang w:val="da-DK"/>
        </w:rPr>
        <w:t>Egg</w:t>
      </w:r>
      <w:proofErr w:type="spellEnd"/>
      <w:r>
        <w:rPr>
          <w:rFonts w:eastAsiaTheme="minorEastAsia"/>
          <w:lang w:val="da-DK"/>
        </w:rPr>
        <w:t xml:space="preserve"> Factory. </w:t>
      </w:r>
    </w:p>
    <w:p w14:paraId="3C4AFFA0" w14:textId="243D7EC2" w:rsidR="00F11318" w:rsidRDefault="00F11318" w:rsidP="000B5192">
      <w:pPr>
        <w:rPr>
          <w:rFonts w:eastAsiaTheme="minorEastAsia"/>
          <w:lang w:val="da-DK"/>
        </w:rPr>
      </w:pPr>
    </w:p>
    <w:p w14:paraId="6634A5F3" w14:textId="7D84433B" w:rsidR="00F11318" w:rsidRDefault="00F11318" w:rsidP="000B5192">
      <w:pPr>
        <w:rPr>
          <w:rFonts w:eastAsiaTheme="minorEastAsia"/>
          <w:lang w:val="da-DK"/>
        </w:rPr>
      </w:pPr>
      <w:r>
        <w:rPr>
          <w:rFonts w:eastAsiaTheme="minorEastAsia"/>
          <w:lang w:val="da-DK"/>
        </w:rPr>
        <w:t xml:space="preserve">Selvom Hønsemaster Deluxe har en højere kapitalværdi end Standardhuset, så har Hønsemaster end lavere intern rente. Dette er pga. Hønsemaster har større positive </w:t>
      </w:r>
      <w:proofErr w:type="spellStart"/>
      <w:r>
        <w:rPr>
          <w:rFonts w:eastAsiaTheme="minorEastAsia"/>
          <w:lang w:val="da-DK"/>
        </w:rPr>
        <w:t>cash-flows</w:t>
      </w:r>
      <w:proofErr w:type="spellEnd"/>
      <w:r>
        <w:rPr>
          <w:rFonts w:eastAsiaTheme="minorEastAsia"/>
          <w:lang w:val="da-DK"/>
        </w:rPr>
        <w:t xml:space="preserve">, som vil blive hårdere ramt ved en højere kapitalomkostning. Derfor er der større risiko ved hønsemaster </w:t>
      </w:r>
      <w:r w:rsidR="007863C0">
        <w:rPr>
          <w:rFonts w:eastAsiaTheme="minorEastAsia"/>
          <w:lang w:val="da-DK"/>
        </w:rPr>
        <w:t>D</w:t>
      </w:r>
      <w:r>
        <w:rPr>
          <w:rFonts w:eastAsiaTheme="minorEastAsia"/>
          <w:lang w:val="da-DK"/>
        </w:rPr>
        <w:t xml:space="preserve">eluxe, da en ændring i kapitalomkostningen vil have større betydning for kapitalværdien for hønsemaster kontra standardhuset. Dog har Hønsemaster Deluxe end større kapitalværdi, samt er bedre for hønsene, og derfor skal Hønsemaster vælges. </w:t>
      </w:r>
    </w:p>
    <w:p w14:paraId="7C679D0C" w14:textId="2E00DD0E" w:rsidR="00F11318" w:rsidRDefault="00F11318" w:rsidP="000B5192">
      <w:pPr>
        <w:rPr>
          <w:rFonts w:eastAsiaTheme="minorEastAsia"/>
          <w:lang w:val="da-DK"/>
        </w:rPr>
      </w:pPr>
    </w:p>
    <w:p w14:paraId="722D3A20" w14:textId="73F7391C" w:rsidR="00F11318" w:rsidRDefault="00F11318" w:rsidP="000B5192">
      <w:pPr>
        <w:rPr>
          <w:rFonts w:eastAsiaTheme="minorEastAsia"/>
          <w:lang w:val="da-DK"/>
        </w:rPr>
      </w:pPr>
      <w:r>
        <w:rPr>
          <w:rFonts w:eastAsiaTheme="minorEastAsia"/>
          <w:b/>
          <w:bCs/>
          <w:lang w:val="da-DK"/>
        </w:rPr>
        <w:lastRenderedPageBreak/>
        <w:t>1.3</w:t>
      </w:r>
    </w:p>
    <w:p w14:paraId="6E56D610" w14:textId="407C928F" w:rsidR="00F11318" w:rsidRDefault="00F11318" w:rsidP="000B5192">
      <w:pPr>
        <w:rPr>
          <w:rFonts w:eastAsiaTheme="minorEastAsia"/>
          <w:lang w:val="da-DK"/>
        </w:rPr>
      </w:pPr>
      <w:r>
        <w:rPr>
          <w:rFonts w:eastAsiaTheme="minorEastAsia"/>
          <w:lang w:val="da-DK"/>
        </w:rPr>
        <w:t xml:space="preserve">Hvis prisen stiger med </w:t>
      </w:r>
      <m:oMath>
        <m:r>
          <w:rPr>
            <w:rFonts w:ascii="Cambria Math" w:eastAsiaTheme="minorEastAsia" w:hAnsi="Cambria Math"/>
            <w:lang w:val="da-DK"/>
          </w:rPr>
          <m:t>12,8%</m:t>
        </m:r>
      </m:oMath>
      <w:r w:rsidR="007863C0">
        <w:rPr>
          <w:rFonts w:eastAsiaTheme="minorEastAsia"/>
          <w:lang w:val="da-DK"/>
        </w:rPr>
        <w:t xml:space="preserve"> fra 3 kroner per æg til </w:t>
      </w:r>
      <m:oMath>
        <m:r>
          <w:rPr>
            <w:rFonts w:ascii="Cambria Math" w:eastAsiaTheme="minorEastAsia" w:hAnsi="Cambria Math"/>
            <w:lang w:val="da-DK"/>
          </w:rPr>
          <m:t>3,38</m:t>
        </m:r>
      </m:oMath>
      <w:r w:rsidR="007863C0">
        <w:rPr>
          <w:rFonts w:eastAsiaTheme="minorEastAsia"/>
          <w:lang w:val="da-DK"/>
        </w:rPr>
        <w:t xml:space="preserve"> per æg, så vil nutidsværdierne for </w:t>
      </w:r>
      <w:proofErr w:type="spellStart"/>
      <w:r w:rsidR="007863C0">
        <w:rPr>
          <w:rFonts w:eastAsiaTheme="minorEastAsia"/>
          <w:lang w:val="da-DK"/>
        </w:rPr>
        <w:t>Egg</w:t>
      </w:r>
      <w:proofErr w:type="spellEnd"/>
      <w:r w:rsidR="007863C0">
        <w:rPr>
          <w:rFonts w:eastAsiaTheme="minorEastAsia"/>
          <w:lang w:val="da-DK"/>
        </w:rPr>
        <w:t xml:space="preserve"> Factory og Standardhuset have samme kapitalværdi på </w:t>
      </w:r>
      <m:oMath>
        <m:r>
          <w:rPr>
            <w:rFonts w:ascii="Cambria Math" w:eastAsiaTheme="minorEastAsia" w:hAnsi="Cambria Math"/>
            <w:lang w:val="da-DK"/>
          </w:rPr>
          <m:t>5.273,73 DKK</m:t>
        </m:r>
      </m:oMath>
    </w:p>
    <w:p w14:paraId="060F53E4" w14:textId="15120070" w:rsidR="007863C0" w:rsidRDefault="007863C0" w:rsidP="000B5192">
      <w:pPr>
        <w:rPr>
          <w:rFonts w:eastAsiaTheme="minorEastAsia"/>
          <w:lang w:val="da-DK"/>
        </w:rPr>
      </w:pPr>
    </w:p>
    <w:p w14:paraId="469EE97E" w14:textId="77777777" w:rsidR="007863C0" w:rsidRDefault="007863C0" w:rsidP="000B5192">
      <w:pPr>
        <w:rPr>
          <w:rFonts w:eastAsiaTheme="minorEastAsia"/>
          <w:lang w:val="da-DK"/>
        </w:rPr>
      </w:pPr>
      <w:r>
        <w:rPr>
          <w:rFonts w:eastAsiaTheme="minorEastAsia"/>
          <w:lang w:val="da-DK"/>
        </w:rPr>
        <w:t xml:space="preserve">Pga. antallet af høns er </w:t>
      </w:r>
      <w:proofErr w:type="spellStart"/>
      <w:r>
        <w:rPr>
          <w:rFonts w:eastAsiaTheme="minorEastAsia"/>
          <w:lang w:val="da-DK"/>
        </w:rPr>
        <w:t>Egg</w:t>
      </w:r>
      <w:proofErr w:type="spellEnd"/>
      <w:r>
        <w:rPr>
          <w:rFonts w:eastAsiaTheme="minorEastAsia"/>
          <w:lang w:val="da-DK"/>
        </w:rPr>
        <w:t xml:space="preserve"> Factory mere påvirket af prisen på æg, da anlægget har mange flere høns. Der vil derfor være større udsving i </w:t>
      </w:r>
      <w:proofErr w:type="spellStart"/>
      <w:r>
        <w:rPr>
          <w:rFonts w:eastAsiaTheme="minorEastAsia"/>
          <w:lang w:val="da-DK"/>
        </w:rPr>
        <w:t>Egg</w:t>
      </w:r>
      <w:proofErr w:type="spellEnd"/>
      <w:r>
        <w:rPr>
          <w:rFonts w:eastAsiaTheme="minorEastAsia"/>
          <w:lang w:val="da-DK"/>
        </w:rPr>
        <w:t xml:space="preserve"> Factorys indtægter </w:t>
      </w:r>
      <w:proofErr w:type="spellStart"/>
      <w:r>
        <w:rPr>
          <w:rFonts w:eastAsiaTheme="minorEastAsia"/>
          <w:lang w:val="da-DK"/>
        </w:rPr>
        <w:t>pga</w:t>
      </w:r>
      <w:proofErr w:type="spellEnd"/>
      <w:r>
        <w:rPr>
          <w:rFonts w:eastAsiaTheme="minorEastAsia"/>
          <w:lang w:val="da-DK"/>
        </w:rPr>
        <w:t xml:space="preserve"> mængden af høns. De er begge meget følsomme overfor prisen på æg. </w:t>
      </w:r>
    </w:p>
    <w:p w14:paraId="6EA77B69" w14:textId="64F12FF8" w:rsidR="007863C0" w:rsidRDefault="007863C0" w:rsidP="000B5192">
      <w:pPr>
        <w:rPr>
          <w:rFonts w:eastAsiaTheme="minorEastAsia"/>
          <w:lang w:val="da-DK"/>
        </w:rPr>
      </w:pPr>
      <w:r>
        <w:rPr>
          <w:rFonts w:eastAsiaTheme="minorEastAsia"/>
          <w:lang w:val="da-DK"/>
        </w:rPr>
        <w:t xml:space="preserve">Ved en </w:t>
      </w:r>
      <m:oMath>
        <m:r>
          <w:rPr>
            <w:rFonts w:ascii="Cambria Math" w:eastAsiaTheme="minorEastAsia" w:hAnsi="Cambria Math"/>
            <w:lang w:val="da-DK"/>
          </w:rPr>
          <m:t xml:space="preserve">12,8% </m:t>
        </m:r>
      </m:oMath>
      <w:r>
        <w:rPr>
          <w:rFonts w:eastAsiaTheme="minorEastAsia"/>
          <w:lang w:val="da-DK"/>
        </w:rPr>
        <w:t xml:space="preserve">stigning stiger kapitalværdien for Standardhuset med over 100%, mens ved </w:t>
      </w:r>
      <w:proofErr w:type="spellStart"/>
      <w:r>
        <w:rPr>
          <w:rFonts w:eastAsiaTheme="minorEastAsia"/>
          <w:lang w:val="da-DK"/>
        </w:rPr>
        <w:t>Egg</w:t>
      </w:r>
      <w:proofErr w:type="spellEnd"/>
      <w:r>
        <w:rPr>
          <w:rFonts w:eastAsiaTheme="minorEastAsia"/>
          <w:lang w:val="da-DK"/>
        </w:rPr>
        <w:t xml:space="preserve"> Factory går man fra negativ til positiv, og stiger næsten også dobbelt. Derfor er dette anlæg især følsomt.</w:t>
      </w:r>
    </w:p>
    <w:p w14:paraId="7374BE62" w14:textId="60B8BD12" w:rsidR="007863C0" w:rsidRDefault="007863C0" w:rsidP="000B5192">
      <w:pPr>
        <w:rPr>
          <w:rFonts w:eastAsiaTheme="minorEastAsia"/>
          <w:lang w:val="da-DK"/>
        </w:rPr>
      </w:pPr>
    </w:p>
    <w:p w14:paraId="2A3A44F7" w14:textId="5CA2E6A4" w:rsidR="007863C0" w:rsidRDefault="007863C0" w:rsidP="000B5192">
      <w:pPr>
        <w:rPr>
          <w:rFonts w:eastAsiaTheme="minorEastAsia"/>
          <w:b/>
          <w:bCs/>
          <w:lang w:val="da-DK"/>
        </w:rPr>
      </w:pPr>
      <w:r>
        <w:rPr>
          <w:rFonts w:eastAsiaTheme="minorEastAsia"/>
          <w:b/>
          <w:bCs/>
          <w:lang w:val="da-DK"/>
        </w:rPr>
        <w:t>1.4</w:t>
      </w:r>
    </w:p>
    <w:p w14:paraId="7076F858" w14:textId="2F773193" w:rsidR="007863C0" w:rsidRDefault="007863C0" w:rsidP="000B5192">
      <w:pPr>
        <w:rPr>
          <w:rFonts w:eastAsiaTheme="minorEastAsia"/>
          <w:lang w:val="da-DK"/>
        </w:rPr>
      </w:pPr>
      <w:r>
        <w:rPr>
          <w:rFonts w:eastAsiaTheme="minorEastAsia"/>
          <w:lang w:val="da-DK"/>
        </w:rPr>
        <w:t xml:space="preserve">Ved hjælp af </w:t>
      </w:r>
      <w:proofErr w:type="spellStart"/>
      <w:r w:rsidR="00EB544D" w:rsidRPr="00EB544D">
        <w:rPr>
          <w:rFonts w:eastAsiaTheme="minorEastAsia"/>
          <w:lang w:val="da-DK"/>
        </w:rPr>
        <w:t>perp</w:t>
      </w:r>
      <w:r w:rsidR="00EB544D">
        <w:rPr>
          <w:rFonts w:eastAsiaTheme="minorEastAsia"/>
          <w:lang w:val="da-DK"/>
        </w:rPr>
        <w:t>et</w:t>
      </w:r>
      <w:r w:rsidR="00EB544D" w:rsidRPr="00EB544D">
        <w:rPr>
          <w:rFonts w:eastAsiaTheme="minorEastAsia"/>
          <w:lang w:val="da-DK"/>
        </w:rPr>
        <w:t>uitet</w:t>
      </w:r>
      <w:r w:rsidR="00EB544D">
        <w:rPr>
          <w:rFonts w:eastAsiaTheme="minorEastAsia"/>
          <w:lang w:val="da-DK"/>
        </w:rPr>
        <w:t>s</w:t>
      </w:r>
      <w:r>
        <w:rPr>
          <w:rFonts w:eastAsiaTheme="minorEastAsia"/>
          <w:lang w:val="da-DK"/>
        </w:rPr>
        <w:t>formlen</w:t>
      </w:r>
      <w:proofErr w:type="spellEnd"/>
      <w:r>
        <w:rPr>
          <w:rFonts w:eastAsiaTheme="minorEastAsia"/>
          <w:lang w:val="da-DK"/>
        </w:rPr>
        <w:t xml:space="preserve"> </w:t>
      </w:r>
      <m:oMath>
        <m:r>
          <w:rPr>
            <w:rFonts w:ascii="Cambria Math" w:eastAsiaTheme="minorEastAsia" w:hAnsi="Cambria Math"/>
            <w:lang w:val="da-DK"/>
          </w:rPr>
          <m:t>PV</m:t>
        </m:r>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CF</m:t>
            </m:r>
          </m:num>
          <m:den>
            <m:r>
              <w:rPr>
                <w:rFonts w:ascii="Cambria Math" w:eastAsiaTheme="minorEastAsia" w:hAnsi="Cambria Math"/>
                <w:lang w:val="da-DK"/>
              </w:rPr>
              <m:t>r</m:t>
            </m:r>
          </m:den>
        </m:f>
      </m:oMath>
    </w:p>
    <w:p w14:paraId="67A6250F" w14:textId="5334DD96" w:rsidR="007863C0" w:rsidRDefault="00EB544D" w:rsidP="000B5192">
      <w:pPr>
        <w:rPr>
          <w:rFonts w:eastAsiaTheme="minorEastAsia"/>
          <w:lang w:val="da-DK"/>
        </w:rPr>
      </w:pPr>
      <w:r>
        <w:rPr>
          <w:rFonts w:eastAsiaTheme="minorEastAsia"/>
          <w:noProof/>
          <w:lang w:val="da-DK"/>
        </w:rPr>
        <w:drawing>
          <wp:inline distT="0" distB="0" distL="0" distR="0" wp14:anchorId="2E25ABB8" wp14:editId="16BF409F">
            <wp:extent cx="3403600" cy="4572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03600" cy="457200"/>
                    </a:xfrm>
                    <a:prstGeom prst="rect">
                      <a:avLst/>
                    </a:prstGeom>
                  </pic:spPr>
                </pic:pic>
              </a:graphicData>
            </a:graphic>
          </wp:inline>
        </w:drawing>
      </w:r>
    </w:p>
    <w:p w14:paraId="177DA413" w14:textId="510073B9" w:rsidR="00EB544D" w:rsidRDefault="00EB544D" w:rsidP="000B5192">
      <w:pPr>
        <w:rPr>
          <w:rFonts w:eastAsiaTheme="minorEastAsia"/>
          <w:lang w:val="da-DK"/>
        </w:rPr>
      </w:pPr>
      <w:r>
        <w:rPr>
          <w:rFonts w:eastAsiaTheme="minorEastAsia"/>
          <w:lang w:val="da-DK"/>
        </w:rPr>
        <w:t xml:space="preserve">Ovenstående tabel viser kapitalværdien, hvis man antager, Jens kan geninvestere i samme anlæg i uendelig tid. Her ses, at pga. de årlige </w:t>
      </w:r>
      <w:proofErr w:type="spellStart"/>
      <w:r>
        <w:rPr>
          <w:rFonts w:eastAsiaTheme="minorEastAsia"/>
          <w:lang w:val="da-DK"/>
        </w:rPr>
        <w:t>cash-flows</w:t>
      </w:r>
      <w:proofErr w:type="spellEnd"/>
      <w:r>
        <w:rPr>
          <w:rFonts w:eastAsiaTheme="minorEastAsia"/>
          <w:lang w:val="da-DK"/>
        </w:rPr>
        <w:t xml:space="preserve"> for Hønsemaster er størst giver dette også den største kapitalværdi ved uendelig genanskaffelse. </w:t>
      </w:r>
    </w:p>
    <w:p w14:paraId="196454BB" w14:textId="39133937" w:rsidR="00EB544D" w:rsidRDefault="00EB544D" w:rsidP="000B5192">
      <w:pPr>
        <w:rPr>
          <w:rFonts w:eastAsiaTheme="minorEastAsia"/>
          <w:lang w:val="da-DK"/>
        </w:rPr>
      </w:pPr>
    </w:p>
    <w:p w14:paraId="3186BE0F" w14:textId="479260E8" w:rsidR="00EB544D" w:rsidRDefault="00EB544D" w:rsidP="000B5192">
      <w:pPr>
        <w:rPr>
          <w:rFonts w:eastAsiaTheme="minorEastAsia"/>
          <w:b/>
          <w:bCs/>
          <w:lang w:val="da-DK"/>
        </w:rPr>
      </w:pPr>
      <w:r>
        <w:rPr>
          <w:rFonts w:eastAsiaTheme="minorEastAsia"/>
          <w:b/>
          <w:bCs/>
          <w:lang w:val="da-DK"/>
        </w:rPr>
        <w:t>2.1</w:t>
      </w:r>
    </w:p>
    <w:p w14:paraId="079C4EDB" w14:textId="75247514" w:rsidR="00EB544D" w:rsidRDefault="00753C17" w:rsidP="000B5192">
      <w:pPr>
        <w:rPr>
          <w:rFonts w:eastAsiaTheme="minorEastAsia"/>
          <w:lang w:val="da-DK"/>
        </w:rPr>
      </w:pPr>
      <w:r>
        <w:rPr>
          <w:rFonts w:eastAsiaTheme="minorEastAsia"/>
          <w:lang w:val="da-DK"/>
        </w:rPr>
        <w:t xml:space="preserve">1) Kontanter krediteres med 20, periode debiteres med 10 og omkostninger med 10. </w:t>
      </w:r>
    </w:p>
    <w:p w14:paraId="12AC6EDD" w14:textId="7C415CEE" w:rsidR="00753C17" w:rsidRDefault="00753C17" w:rsidP="000B5192">
      <w:pPr>
        <w:rPr>
          <w:rFonts w:eastAsiaTheme="minorEastAsia"/>
          <w:lang w:val="da-DK"/>
        </w:rPr>
      </w:pPr>
      <w:r>
        <w:rPr>
          <w:rFonts w:eastAsiaTheme="minorEastAsia"/>
          <w:lang w:val="da-DK"/>
        </w:rPr>
        <w:t xml:space="preserve">2) Krediterer egenkapital med 30, og debiterer kontanter tilsvarende </w:t>
      </w:r>
    </w:p>
    <w:p w14:paraId="7297134A" w14:textId="186A05F3" w:rsidR="00753C17" w:rsidRDefault="00753C17" w:rsidP="000B5192">
      <w:pPr>
        <w:rPr>
          <w:rFonts w:eastAsiaTheme="minorEastAsia"/>
          <w:lang w:val="da-DK"/>
        </w:rPr>
      </w:pPr>
      <w:r>
        <w:rPr>
          <w:rFonts w:eastAsiaTheme="minorEastAsia"/>
          <w:lang w:val="da-DK"/>
        </w:rPr>
        <w:t xml:space="preserve">3) Krediterer kontanter med 280, og debiterer varelaget med tilsvarende </w:t>
      </w:r>
    </w:p>
    <w:p w14:paraId="3672F80C" w14:textId="7093E8DF" w:rsidR="00753C17" w:rsidRDefault="00753C17" w:rsidP="000B5192">
      <w:pPr>
        <w:rPr>
          <w:rFonts w:eastAsiaTheme="minorEastAsia"/>
          <w:lang w:val="da-DK"/>
        </w:rPr>
      </w:pPr>
      <w:r>
        <w:rPr>
          <w:rFonts w:eastAsiaTheme="minorEastAsia"/>
          <w:lang w:val="da-DK"/>
        </w:rPr>
        <w:t xml:space="preserve">4) </w:t>
      </w:r>
      <w:r w:rsidR="00F56F19">
        <w:rPr>
          <w:rFonts w:eastAsiaTheme="minorEastAsia"/>
          <w:lang w:val="da-DK"/>
        </w:rPr>
        <w:t>Debiterer omkostninger med 140, og varelageret krediteres tilsvarende. Yderligere krediteres indtægter med 300, og leverandørgæld debiteres med 300</w:t>
      </w:r>
    </w:p>
    <w:p w14:paraId="7559B47C" w14:textId="2441CAC4" w:rsidR="00F56F19" w:rsidRDefault="00F56F19" w:rsidP="000B5192">
      <w:pPr>
        <w:rPr>
          <w:rFonts w:eastAsiaTheme="minorEastAsia"/>
          <w:lang w:val="da-DK"/>
        </w:rPr>
      </w:pPr>
      <w:r>
        <w:rPr>
          <w:rFonts w:eastAsiaTheme="minorEastAsia"/>
          <w:lang w:val="da-DK"/>
        </w:rPr>
        <w:t xml:space="preserve">5) Kontanter krediteres med 200, og omkostninger debiteres tilsvarende. </w:t>
      </w:r>
    </w:p>
    <w:p w14:paraId="0B0C74E8" w14:textId="3FCDA0BB" w:rsidR="00F56F19" w:rsidRDefault="00F56F19" w:rsidP="000B5192">
      <w:pPr>
        <w:rPr>
          <w:rFonts w:eastAsiaTheme="minorEastAsia"/>
          <w:lang w:val="da-DK"/>
        </w:rPr>
      </w:pPr>
      <w:r>
        <w:rPr>
          <w:rFonts w:eastAsiaTheme="minorEastAsia"/>
          <w:lang w:val="da-DK"/>
        </w:rPr>
        <w:t xml:space="preserve">6) Kontanter debiteres med 40, og indtægter krediteres med indtægter. Immaterielle aktiver krediteres med 20, og omkostninger debiteres. </w:t>
      </w:r>
    </w:p>
    <w:p w14:paraId="4E9BF788" w14:textId="682ECB75" w:rsidR="00F56F19" w:rsidRDefault="00F56F19" w:rsidP="000B5192">
      <w:pPr>
        <w:rPr>
          <w:rFonts w:eastAsiaTheme="minorEastAsia"/>
          <w:lang w:val="da-DK"/>
        </w:rPr>
      </w:pPr>
      <w:r>
        <w:rPr>
          <w:rFonts w:eastAsiaTheme="minorEastAsia"/>
          <w:lang w:val="da-DK"/>
        </w:rPr>
        <w:t>7) Langfristet gæld krediteres med 50, og kontanter debiteres med 50</w:t>
      </w:r>
    </w:p>
    <w:p w14:paraId="66402C6F" w14:textId="61E52994" w:rsidR="00F56F19" w:rsidRDefault="00F56F19" w:rsidP="000B5192">
      <w:pPr>
        <w:rPr>
          <w:rFonts w:eastAsiaTheme="minorEastAsia"/>
          <w:lang w:val="da-DK"/>
        </w:rPr>
      </w:pPr>
      <w:r>
        <w:rPr>
          <w:rFonts w:eastAsiaTheme="minorEastAsia"/>
          <w:lang w:val="da-DK"/>
        </w:rPr>
        <w:t xml:space="preserve">8)Kontanter krediteres med 10, og egenkapitalen debiteres med 10. </w:t>
      </w:r>
    </w:p>
    <w:p w14:paraId="2F78F825" w14:textId="4ED47410" w:rsidR="00F56F19" w:rsidRDefault="00F56F19" w:rsidP="000B5192">
      <w:pPr>
        <w:rPr>
          <w:rFonts w:eastAsiaTheme="minorEastAsia"/>
          <w:lang w:val="da-DK"/>
        </w:rPr>
      </w:pPr>
    </w:p>
    <w:p w14:paraId="7903676F" w14:textId="383AE1BA" w:rsidR="00F56F19" w:rsidRDefault="00F56F19" w:rsidP="000B5192">
      <w:pPr>
        <w:rPr>
          <w:rFonts w:eastAsiaTheme="minorEastAsia"/>
          <w:lang w:val="da-DK"/>
        </w:rPr>
      </w:pPr>
      <w:r>
        <w:rPr>
          <w:rFonts w:eastAsiaTheme="minorEastAsia"/>
          <w:noProof/>
          <w:lang w:val="da-DK"/>
        </w:rPr>
        <w:drawing>
          <wp:inline distT="0" distB="0" distL="0" distR="0" wp14:anchorId="59DE597B" wp14:editId="3BA18AE2">
            <wp:extent cx="2540000" cy="2095500"/>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40000" cy="2095500"/>
                    </a:xfrm>
                    <a:prstGeom prst="rect">
                      <a:avLst/>
                    </a:prstGeom>
                  </pic:spPr>
                </pic:pic>
              </a:graphicData>
            </a:graphic>
          </wp:inline>
        </w:drawing>
      </w:r>
    </w:p>
    <w:p w14:paraId="45F25E5B" w14:textId="52DD2BF9" w:rsidR="00F56F19" w:rsidRDefault="00F56F19" w:rsidP="000B5192">
      <w:pPr>
        <w:rPr>
          <w:rFonts w:eastAsiaTheme="minorEastAsia"/>
          <w:lang w:val="da-DK"/>
        </w:rPr>
      </w:pPr>
    </w:p>
    <w:p w14:paraId="09ECCB40" w14:textId="5C3E0DEC" w:rsidR="00F56F19" w:rsidRDefault="00F56F19" w:rsidP="000B5192">
      <w:pPr>
        <w:rPr>
          <w:rFonts w:eastAsiaTheme="minorEastAsia"/>
          <w:lang w:val="da-DK"/>
        </w:rPr>
      </w:pPr>
    </w:p>
    <w:p w14:paraId="53A8EF00" w14:textId="12E5ABCB" w:rsidR="00F56F19" w:rsidRDefault="00F56F19" w:rsidP="000B5192">
      <w:pPr>
        <w:rPr>
          <w:rFonts w:eastAsiaTheme="minorEastAsia"/>
          <w:lang w:val="da-DK"/>
        </w:rPr>
      </w:pPr>
    </w:p>
    <w:p w14:paraId="0FFC4797" w14:textId="5C533236" w:rsidR="00F56F19" w:rsidRDefault="00F56F19" w:rsidP="000B5192">
      <w:pPr>
        <w:rPr>
          <w:rFonts w:eastAsiaTheme="minorEastAsia"/>
          <w:lang w:val="da-DK"/>
        </w:rPr>
      </w:pPr>
    </w:p>
    <w:p w14:paraId="7EBA30F5" w14:textId="47F5240F" w:rsidR="00F56F19" w:rsidRDefault="00F56F19" w:rsidP="000B5192">
      <w:pPr>
        <w:rPr>
          <w:rFonts w:eastAsiaTheme="minorEastAsia"/>
          <w:lang w:val="da-DK"/>
        </w:rPr>
      </w:pPr>
    </w:p>
    <w:p w14:paraId="2275336F" w14:textId="073C1F01" w:rsidR="00F56F19" w:rsidRDefault="002C06B4" w:rsidP="000B5192">
      <w:pPr>
        <w:rPr>
          <w:rFonts w:eastAsiaTheme="minorEastAsia"/>
          <w:lang w:val="da-DK"/>
        </w:rPr>
      </w:pPr>
      <w:r>
        <w:rPr>
          <w:rFonts w:eastAsiaTheme="minorEastAsia"/>
          <w:b/>
          <w:bCs/>
          <w:lang w:val="da-DK"/>
        </w:rPr>
        <w:t>2.2</w:t>
      </w:r>
    </w:p>
    <w:p w14:paraId="287E22E9" w14:textId="12D40544" w:rsidR="002C06B4" w:rsidRDefault="002C06B4" w:rsidP="000B5192">
      <w:pPr>
        <w:rPr>
          <w:rFonts w:eastAsiaTheme="minorEastAsia"/>
          <w:lang w:val="da-DK"/>
        </w:rPr>
      </w:pPr>
      <w:r>
        <w:rPr>
          <w:rFonts w:eastAsiaTheme="minorEastAsia"/>
          <w:noProof/>
          <w:lang w:val="da-DK"/>
        </w:rPr>
        <w:drawing>
          <wp:inline distT="0" distB="0" distL="0" distR="0" wp14:anchorId="10C7B779" wp14:editId="31A49AD1">
            <wp:extent cx="3060700" cy="5295900"/>
            <wp:effectExtent l="0" t="0" r="0" b="0"/>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0700" cy="5295900"/>
                    </a:xfrm>
                    <a:prstGeom prst="rect">
                      <a:avLst/>
                    </a:prstGeom>
                  </pic:spPr>
                </pic:pic>
              </a:graphicData>
            </a:graphic>
          </wp:inline>
        </w:drawing>
      </w:r>
    </w:p>
    <w:p w14:paraId="6ADAC42A" w14:textId="72BCD0FB" w:rsidR="002C06B4" w:rsidRDefault="002C06B4" w:rsidP="000B5192">
      <w:pPr>
        <w:rPr>
          <w:rFonts w:eastAsiaTheme="minorEastAsia"/>
          <w:lang w:val="da-DK"/>
        </w:rPr>
      </w:pPr>
    </w:p>
    <w:p w14:paraId="50AA1E06" w14:textId="4AEF8D10" w:rsidR="002C06B4" w:rsidRDefault="002C06B4" w:rsidP="000B5192">
      <w:pPr>
        <w:rPr>
          <w:rFonts w:eastAsiaTheme="minorEastAsia"/>
          <w:lang w:val="da-DK"/>
        </w:rPr>
      </w:pPr>
      <w:r>
        <w:rPr>
          <w:rFonts w:eastAsiaTheme="minorEastAsia"/>
          <w:b/>
          <w:bCs/>
          <w:lang w:val="da-DK"/>
        </w:rPr>
        <w:t>2.3</w:t>
      </w:r>
    </w:p>
    <w:p w14:paraId="63037A99" w14:textId="492D0AF2" w:rsidR="002C06B4" w:rsidRDefault="002C06B4" w:rsidP="000B5192">
      <w:pPr>
        <w:rPr>
          <w:rFonts w:eastAsiaTheme="minorEastAsia"/>
          <w:lang w:val="da-DK"/>
        </w:rPr>
      </w:pPr>
      <w:r>
        <w:rPr>
          <w:rFonts w:eastAsiaTheme="minorEastAsia"/>
          <w:lang w:val="da-DK"/>
        </w:rPr>
        <w:t xml:space="preserve">A)  Patenter indgår under immaterielle anlægsaktiver </w:t>
      </w:r>
      <w:r w:rsidR="002A6FAE">
        <w:rPr>
          <w:rFonts w:eastAsiaTheme="minorEastAsia"/>
          <w:lang w:val="da-DK"/>
        </w:rPr>
        <w:t>som opgøres ved anskaffelsespris jf. Princippet om aktivers værdiansættelse. Derfor skal opgøres til en værdi i regnskabet på 2 mi</w:t>
      </w:r>
      <w:r w:rsidR="00D654F9">
        <w:rPr>
          <w:rFonts w:eastAsiaTheme="minorEastAsia"/>
          <w:lang w:val="da-DK"/>
        </w:rPr>
        <w:t>lliarder</w:t>
      </w:r>
      <w:r w:rsidR="002A6FAE">
        <w:rPr>
          <w:rFonts w:eastAsiaTheme="minorEastAsia"/>
          <w:lang w:val="da-DK"/>
        </w:rPr>
        <w:t xml:space="preserve">, når det bliver godkendt. I og med de allerede kan sælge det ufærdige patent, så skal det bogføres til anskaffelsesprisen,  da det er et aktiv, som virksomheden kan sælge. </w:t>
      </w:r>
    </w:p>
    <w:p w14:paraId="6C100491" w14:textId="69F9A657" w:rsidR="002C06B4" w:rsidRDefault="002C06B4" w:rsidP="000B5192">
      <w:pPr>
        <w:rPr>
          <w:rFonts w:eastAsiaTheme="minorEastAsia"/>
          <w:lang w:val="da-DK"/>
        </w:rPr>
      </w:pPr>
      <w:r>
        <w:rPr>
          <w:rFonts w:eastAsiaTheme="minorEastAsia"/>
          <w:lang w:val="da-DK"/>
        </w:rPr>
        <w:t xml:space="preserve">B) </w:t>
      </w:r>
      <w:r w:rsidR="002A6FAE">
        <w:rPr>
          <w:rFonts w:eastAsiaTheme="minorEastAsia"/>
          <w:lang w:val="da-DK"/>
        </w:rPr>
        <w:t xml:space="preserve">Patentet skal nedskrives med hele værdien. Derfor sker følgende i regnskabet. </w:t>
      </w:r>
    </w:p>
    <w:p w14:paraId="296F5301" w14:textId="185437F7" w:rsidR="002A6FAE" w:rsidRDefault="002A6FAE" w:rsidP="000B5192">
      <w:pPr>
        <w:rPr>
          <w:rFonts w:eastAsiaTheme="minorEastAsia"/>
          <w:lang w:val="da-DK"/>
        </w:rPr>
      </w:pPr>
      <w:r>
        <w:rPr>
          <w:rFonts w:eastAsiaTheme="minorEastAsia"/>
          <w:lang w:val="da-DK"/>
        </w:rPr>
        <w:t xml:space="preserve">Immaterielle aktiver krediteres med patentets værdi, og omkostninger/nedskrivninger debiteres med tilsvarende. Hvis patentet er virksomhedens ene store indtægtskilde, så gælder antagelsen om </w:t>
      </w:r>
      <w:proofErr w:type="spellStart"/>
      <w:r>
        <w:rPr>
          <w:rFonts w:eastAsiaTheme="minorEastAsia"/>
          <w:lang w:val="da-DK"/>
        </w:rPr>
        <w:t>going</w:t>
      </w:r>
      <w:proofErr w:type="spellEnd"/>
      <w:r>
        <w:rPr>
          <w:rFonts w:eastAsiaTheme="minorEastAsia"/>
          <w:lang w:val="da-DK"/>
        </w:rPr>
        <w:t xml:space="preserve"> </w:t>
      </w:r>
      <w:proofErr w:type="spellStart"/>
      <w:r>
        <w:rPr>
          <w:rFonts w:eastAsiaTheme="minorEastAsia"/>
          <w:lang w:val="da-DK"/>
        </w:rPr>
        <w:t>concern</w:t>
      </w:r>
      <w:proofErr w:type="spellEnd"/>
      <w:r>
        <w:rPr>
          <w:rFonts w:eastAsiaTheme="minorEastAsia"/>
          <w:lang w:val="da-DK"/>
        </w:rPr>
        <w:t xml:space="preserve"> ikke, da virksomheden kan være konkurstruet. </w:t>
      </w:r>
    </w:p>
    <w:p w14:paraId="50D361AF" w14:textId="7CF25E44" w:rsidR="002A6FAE" w:rsidRDefault="002A6FAE" w:rsidP="000B5192">
      <w:pPr>
        <w:rPr>
          <w:rFonts w:eastAsiaTheme="minorEastAsia"/>
          <w:lang w:val="da-DK"/>
        </w:rPr>
      </w:pPr>
      <w:r>
        <w:rPr>
          <w:rFonts w:eastAsiaTheme="minorEastAsia"/>
          <w:lang w:val="da-DK"/>
        </w:rPr>
        <w:t xml:space="preserve">C) Jf. Princippet om indregning af indtægter må man bogføre en indtægt, når følgende </w:t>
      </w:r>
      <w:r w:rsidR="00D654F9">
        <w:rPr>
          <w:rFonts w:eastAsiaTheme="minorEastAsia"/>
          <w:lang w:val="da-DK"/>
        </w:rPr>
        <w:t xml:space="preserve">fire ting er opfyldt. </w:t>
      </w:r>
    </w:p>
    <w:p w14:paraId="483F577D" w14:textId="0498C676" w:rsidR="00D654F9" w:rsidRDefault="00D654F9" w:rsidP="000B5192">
      <w:pPr>
        <w:rPr>
          <w:rFonts w:eastAsiaTheme="minorEastAsia"/>
          <w:lang w:val="da-DK"/>
        </w:rPr>
      </w:pPr>
      <w:r>
        <w:rPr>
          <w:rFonts w:eastAsiaTheme="minorEastAsia"/>
          <w:lang w:val="da-DK"/>
        </w:rPr>
        <w:t xml:space="preserve">- Størstedelen af produktionen og arbejdet ved salg er færdiggjort </w:t>
      </w:r>
    </w:p>
    <w:p w14:paraId="74025C7A" w14:textId="0347C422" w:rsidR="00D654F9" w:rsidRDefault="00D654F9" w:rsidP="000B5192">
      <w:pPr>
        <w:rPr>
          <w:rFonts w:eastAsiaTheme="minorEastAsia"/>
          <w:lang w:val="da-DK"/>
        </w:rPr>
      </w:pPr>
      <w:r>
        <w:rPr>
          <w:rFonts w:eastAsiaTheme="minorEastAsia"/>
          <w:lang w:val="da-DK"/>
        </w:rPr>
        <w:t xml:space="preserve">- Indtægten er kendt </w:t>
      </w:r>
    </w:p>
    <w:p w14:paraId="733BEC32" w14:textId="4AEC6502" w:rsidR="00D654F9" w:rsidRDefault="00D654F9" w:rsidP="000B5192">
      <w:pPr>
        <w:rPr>
          <w:rFonts w:eastAsiaTheme="minorEastAsia"/>
          <w:lang w:val="da-DK"/>
        </w:rPr>
      </w:pPr>
      <w:r>
        <w:rPr>
          <w:rFonts w:eastAsiaTheme="minorEastAsia"/>
          <w:lang w:val="da-DK"/>
        </w:rPr>
        <w:t xml:space="preserve">- Størstedelen af indtægterne er afholdt og de resterende er kendte </w:t>
      </w:r>
    </w:p>
    <w:p w14:paraId="69EBDC35" w14:textId="1F47F69B" w:rsidR="00D654F9" w:rsidRDefault="00D654F9" w:rsidP="000B5192">
      <w:pPr>
        <w:rPr>
          <w:rFonts w:eastAsiaTheme="minorEastAsia"/>
          <w:lang w:val="da-DK"/>
        </w:rPr>
      </w:pPr>
      <w:r>
        <w:rPr>
          <w:rFonts w:eastAsiaTheme="minorEastAsia"/>
          <w:lang w:val="da-DK"/>
        </w:rPr>
        <w:t xml:space="preserve">- Kunde har givet udtryk for betaling. (Altså ingen hentydninger til manglende betalinger, konkurs, el.) </w:t>
      </w:r>
    </w:p>
    <w:p w14:paraId="26CC6350" w14:textId="0E01B631" w:rsidR="00D654F9" w:rsidRDefault="00D654F9" w:rsidP="000B5192">
      <w:pPr>
        <w:rPr>
          <w:rFonts w:eastAsiaTheme="minorEastAsia"/>
          <w:lang w:val="da-DK"/>
        </w:rPr>
      </w:pPr>
      <w:r>
        <w:rPr>
          <w:rFonts w:eastAsiaTheme="minorEastAsia"/>
          <w:lang w:val="da-DK"/>
        </w:rPr>
        <w:lastRenderedPageBreak/>
        <w:t xml:space="preserve">Som hovedregel kan virksomheden bogføre hele indtægten nu, da varen er leveret. Hvis nogle havestole leveres tilbage må de derfor ændre regnskabet. Altså debitere indtægter, krediterer omkostninger, debitere varelager. </w:t>
      </w:r>
    </w:p>
    <w:p w14:paraId="72B72BD2" w14:textId="78191611" w:rsidR="00D654F9" w:rsidRDefault="00D654F9" w:rsidP="000B5192">
      <w:pPr>
        <w:rPr>
          <w:rFonts w:eastAsiaTheme="minorEastAsia"/>
          <w:lang w:val="da-DK"/>
        </w:rPr>
      </w:pPr>
    </w:p>
    <w:p w14:paraId="757070E6" w14:textId="0179DF66" w:rsidR="00D654F9" w:rsidRDefault="00D654F9" w:rsidP="000B5192">
      <w:pPr>
        <w:rPr>
          <w:rFonts w:eastAsiaTheme="minorEastAsia"/>
          <w:lang w:val="da-DK"/>
        </w:rPr>
      </w:pPr>
      <w:r>
        <w:rPr>
          <w:rFonts w:eastAsiaTheme="minorEastAsia"/>
          <w:b/>
          <w:bCs/>
          <w:lang w:val="da-DK"/>
        </w:rPr>
        <w:t>3.1</w:t>
      </w:r>
    </w:p>
    <w:p w14:paraId="1819C496" w14:textId="342F0304" w:rsidR="006D4326" w:rsidRDefault="006D4326" w:rsidP="000B5192">
      <w:pPr>
        <w:rPr>
          <w:rFonts w:eastAsiaTheme="minorEastAsia"/>
          <w:lang w:val="da-DK"/>
        </w:rPr>
      </w:pPr>
      <w:r>
        <w:rPr>
          <w:rFonts w:eastAsiaTheme="minorEastAsia"/>
          <w:lang w:val="da-DK"/>
        </w:rPr>
        <w:t xml:space="preserve">Ved hjælp af formlen </w:t>
      </w:r>
      <m:oMath>
        <m:r>
          <w:rPr>
            <w:rFonts w:ascii="Cambria Math" w:eastAsiaTheme="minorEastAsia" w:hAnsi="Cambria Math"/>
            <w:lang w:val="da-DK"/>
          </w:rPr>
          <m:t>TR=</m:t>
        </m:r>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Kur</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1</m:t>
                    </m:r>
                  </m:sub>
                </m:sSub>
                <m:r>
                  <w:rPr>
                    <w:rFonts w:ascii="Cambria Math" w:eastAsiaTheme="minorEastAsia" w:hAnsi="Cambria Math"/>
                    <w:lang w:val="da-DK"/>
                  </w:rPr>
                  <m:t>+Dividend</m:t>
                </m:r>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1</m:t>
                    </m:r>
                  </m:sub>
                </m:sSub>
                <m:r>
                  <w:rPr>
                    <w:rFonts w:ascii="Cambria Math" w:eastAsiaTheme="minorEastAsia" w:hAnsi="Cambria Math"/>
                    <w:lang w:val="da-DK"/>
                  </w:rPr>
                  <m:t>-Kur</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0</m:t>
                    </m:r>
                  </m:sub>
                </m:sSub>
              </m:e>
            </m:d>
          </m:num>
          <m:den>
            <m:r>
              <w:rPr>
                <w:rFonts w:ascii="Cambria Math" w:eastAsiaTheme="minorEastAsia" w:hAnsi="Cambria Math"/>
                <w:lang w:val="da-DK"/>
              </w:rPr>
              <m:t>Kur</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0</m:t>
                </m:r>
              </m:sub>
            </m:sSub>
          </m:den>
        </m:f>
      </m:oMath>
    </w:p>
    <w:p w14:paraId="0A93704C" w14:textId="2408A2F4" w:rsidR="006D4326" w:rsidRDefault="006D4326" w:rsidP="000B5192">
      <w:pPr>
        <w:rPr>
          <w:rFonts w:eastAsiaTheme="minorEastAsia"/>
          <w:lang w:val="da-DK"/>
        </w:rPr>
      </w:pPr>
      <w:r>
        <w:rPr>
          <w:rFonts w:eastAsiaTheme="minorEastAsia"/>
          <w:noProof/>
          <w:lang w:val="da-DK"/>
        </w:rPr>
        <w:drawing>
          <wp:inline distT="0" distB="0" distL="0" distR="0" wp14:anchorId="16C82658" wp14:editId="4DE6A304">
            <wp:extent cx="3073400" cy="42291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3400" cy="4229100"/>
                    </a:xfrm>
                    <a:prstGeom prst="rect">
                      <a:avLst/>
                    </a:prstGeom>
                  </pic:spPr>
                </pic:pic>
              </a:graphicData>
            </a:graphic>
          </wp:inline>
        </w:drawing>
      </w:r>
    </w:p>
    <w:p w14:paraId="5D601A73" w14:textId="4AE3A31D" w:rsidR="006D4326" w:rsidRDefault="006D4326" w:rsidP="000B5192">
      <w:pPr>
        <w:rPr>
          <w:rFonts w:eastAsiaTheme="minorEastAsia"/>
          <w:lang w:val="da-DK"/>
        </w:rPr>
      </w:pPr>
    </w:p>
    <w:p w14:paraId="19F57A9C" w14:textId="37625EC5" w:rsidR="006D4326" w:rsidRDefault="006D4326" w:rsidP="000B5192">
      <w:pPr>
        <w:rPr>
          <w:rFonts w:eastAsiaTheme="minorEastAsia"/>
          <w:lang w:val="da-DK"/>
        </w:rPr>
      </w:pPr>
      <w:r>
        <w:rPr>
          <w:rFonts w:eastAsiaTheme="minorEastAsia"/>
          <w:lang w:val="da-DK"/>
        </w:rPr>
        <w:t>Ovenstående tabel viser TR- og RR-værdier for de to virksomheder</w:t>
      </w:r>
    </w:p>
    <w:p w14:paraId="53DA7957" w14:textId="6FED8732" w:rsidR="00494C42" w:rsidRDefault="00494C42" w:rsidP="000B5192">
      <w:pPr>
        <w:rPr>
          <w:rFonts w:eastAsiaTheme="minorEastAsia"/>
          <w:lang w:val="da-DK"/>
        </w:rPr>
      </w:pPr>
      <w:r>
        <w:rPr>
          <w:rFonts w:eastAsiaTheme="minorEastAsia"/>
          <w:lang w:val="da-DK"/>
        </w:rPr>
        <w:t xml:space="preserve">Det relative afkast findes ved </w:t>
      </w:r>
      <m:oMath>
        <m:r>
          <w:rPr>
            <w:rFonts w:ascii="Cambria Math" w:eastAsiaTheme="minorEastAsia" w:hAnsi="Cambria Math"/>
            <w:lang w:val="da-DK"/>
          </w:rPr>
          <m:t>RR=TR+1</m:t>
        </m:r>
      </m:oMath>
    </w:p>
    <w:p w14:paraId="0F5EB305" w14:textId="571C5689" w:rsidR="00494C42" w:rsidRDefault="00494C42" w:rsidP="000B5192">
      <w:pPr>
        <w:rPr>
          <w:rFonts w:eastAsiaTheme="minorEastAsia"/>
          <w:lang w:val="da-DK"/>
        </w:rPr>
      </w:pPr>
      <w:r>
        <w:rPr>
          <w:rFonts w:eastAsiaTheme="minorEastAsia"/>
          <w:lang w:val="da-DK"/>
        </w:rPr>
        <w:t xml:space="preserve">Herefter findes det kumulative afkast ved produktet af alle RR værdier for de to virksomheder. CR-værdierne er vist i nedenstående figur. </w:t>
      </w:r>
    </w:p>
    <w:p w14:paraId="7530A7B3" w14:textId="0C4D7D2B" w:rsidR="00494C42" w:rsidRDefault="00494C42" w:rsidP="000B5192">
      <w:pPr>
        <w:rPr>
          <w:rFonts w:eastAsiaTheme="minorEastAsia"/>
          <w:lang w:val="da-DK"/>
        </w:rPr>
      </w:pPr>
      <w:r>
        <w:rPr>
          <w:rFonts w:eastAsiaTheme="minorEastAsia"/>
          <w:noProof/>
          <w:lang w:val="da-DK"/>
        </w:rPr>
        <w:drawing>
          <wp:inline distT="0" distB="0" distL="0" distR="0" wp14:anchorId="3A5B22BA" wp14:editId="7D97E2B5">
            <wp:extent cx="39370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937000" cy="419100"/>
                    </a:xfrm>
                    <a:prstGeom prst="rect">
                      <a:avLst/>
                    </a:prstGeom>
                  </pic:spPr>
                </pic:pic>
              </a:graphicData>
            </a:graphic>
          </wp:inline>
        </w:drawing>
      </w:r>
    </w:p>
    <w:p w14:paraId="13C79644" w14:textId="390D900E" w:rsidR="00494C42" w:rsidRDefault="00494C42" w:rsidP="000B5192">
      <w:pPr>
        <w:rPr>
          <w:rFonts w:eastAsiaTheme="minorEastAsia"/>
          <w:lang w:val="da-DK"/>
        </w:rPr>
      </w:pPr>
      <w:r>
        <w:rPr>
          <w:rFonts w:eastAsiaTheme="minorEastAsia"/>
          <w:lang w:val="da-DK"/>
        </w:rPr>
        <w:t xml:space="preserve">Det ses ud fra ovenstående at en investering i </w:t>
      </w:r>
      <w:proofErr w:type="spellStart"/>
      <w:r>
        <w:rPr>
          <w:rFonts w:eastAsiaTheme="minorEastAsia"/>
          <w:lang w:val="da-DK"/>
        </w:rPr>
        <w:t>Whiskey</w:t>
      </w:r>
      <w:proofErr w:type="spellEnd"/>
      <w:r>
        <w:rPr>
          <w:rFonts w:eastAsiaTheme="minorEastAsia"/>
          <w:lang w:val="da-DK"/>
        </w:rPr>
        <w:t xml:space="preserve"> Business havde givet et klart større afkast end en lignende investering i virksomheden </w:t>
      </w:r>
      <w:proofErr w:type="spellStart"/>
      <w:r>
        <w:rPr>
          <w:rFonts w:eastAsiaTheme="minorEastAsia"/>
          <w:lang w:val="da-DK"/>
        </w:rPr>
        <w:t>Safe</w:t>
      </w:r>
      <w:proofErr w:type="spellEnd"/>
      <w:r>
        <w:rPr>
          <w:rFonts w:eastAsiaTheme="minorEastAsia"/>
          <w:lang w:val="da-DK"/>
        </w:rPr>
        <w:t xml:space="preserve"> and Sound</w:t>
      </w:r>
    </w:p>
    <w:p w14:paraId="585C4014" w14:textId="77777777" w:rsidR="00494C42" w:rsidRDefault="00494C42" w:rsidP="000B5192">
      <w:pPr>
        <w:rPr>
          <w:rFonts w:eastAsiaTheme="minorEastAsia"/>
          <w:lang w:val="da-DK"/>
        </w:rPr>
      </w:pPr>
    </w:p>
    <w:p w14:paraId="492E811D" w14:textId="7F3B87D5" w:rsidR="00494C42" w:rsidRDefault="00494C42" w:rsidP="000B5192">
      <w:pPr>
        <w:rPr>
          <w:rFonts w:eastAsiaTheme="minorEastAsia"/>
          <w:lang w:val="da-DK"/>
        </w:rPr>
      </w:pPr>
      <w:r>
        <w:rPr>
          <w:rFonts w:eastAsiaTheme="minorEastAsia"/>
          <w:noProof/>
          <w:lang w:val="da-DK"/>
        </w:rPr>
        <w:drawing>
          <wp:anchor distT="0" distB="0" distL="114300" distR="114300" simplePos="0" relativeHeight="251658240" behindDoc="0" locked="0" layoutInCell="1" allowOverlap="1" wp14:anchorId="7B20AFE0" wp14:editId="0E717FAB">
            <wp:simplePos x="0" y="0"/>
            <wp:positionH relativeFrom="column">
              <wp:posOffset>0</wp:posOffset>
            </wp:positionH>
            <wp:positionV relativeFrom="paragraph">
              <wp:posOffset>870585</wp:posOffset>
            </wp:positionV>
            <wp:extent cx="1358900" cy="431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1358900" cy="4318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lang w:val="da-DK"/>
        </w:rPr>
        <w:t xml:space="preserve">Hvis Ole skulle have opnået samme afkast ved hans egen opsparingskonto, skulle renten have  været højere. Her under vises renterne ved bankopsparingskontoen, der sikrer at Oles afkast er lig investeringen i </w:t>
      </w:r>
      <w:proofErr w:type="spellStart"/>
      <w:r>
        <w:rPr>
          <w:rFonts w:eastAsiaTheme="minorEastAsia"/>
          <w:lang w:val="da-DK"/>
        </w:rPr>
        <w:t>Safe</w:t>
      </w:r>
      <w:proofErr w:type="spellEnd"/>
      <w:r>
        <w:rPr>
          <w:rFonts w:eastAsiaTheme="minorEastAsia"/>
          <w:lang w:val="da-DK"/>
        </w:rPr>
        <w:t xml:space="preserve"> and Sound og </w:t>
      </w:r>
      <w:proofErr w:type="spellStart"/>
      <w:r>
        <w:rPr>
          <w:rFonts w:eastAsiaTheme="minorEastAsia"/>
          <w:lang w:val="da-DK"/>
        </w:rPr>
        <w:t>Whiskey</w:t>
      </w:r>
      <w:proofErr w:type="spellEnd"/>
      <w:r>
        <w:rPr>
          <w:rFonts w:eastAsiaTheme="minorEastAsia"/>
          <w:lang w:val="da-DK"/>
        </w:rPr>
        <w:t xml:space="preserve"> Business. Derfor skulle renten i banken </w:t>
      </w:r>
      <w:r w:rsidR="009D23B6">
        <w:rPr>
          <w:rFonts w:eastAsiaTheme="minorEastAsia"/>
          <w:lang w:val="da-DK"/>
        </w:rPr>
        <w:t xml:space="preserve">være </w:t>
      </w:r>
      <w:r>
        <w:rPr>
          <w:rFonts w:eastAsiaTheme="minorEastAsia"/>
          <w:lang w:val="da-DK"/>
        </w:rPr>
        <w:t>større end 7,82% for WB</w:t>
      </w:r>
      <w:r w:rsidR="009D23B6">
        <w:rPr>
          <w:rFonts w:eastAsiaTheme="minorEastAsia"/>
          <w:lang w:val="da-DK"/>
        </w:rPr>
        <w:t xml:space="preserve">, for at opnå et højere afkast i banken. </w:t>
      </w:r>
    </w:p>
    <w:p w14:paraId="790F0F11" w14:textId="51C204B2" w:rsidR="00494C42" w:rsidRDefault="00494C42" w:rsidP="000B5192">
      <w:pPr>
        <w:rPr>
          <w:rFonts w:eastAsiaTheme="minorEastAsia"/>
          <w:lang w:val="da-DK"/>
        </w:rPr>
      </w:pPr>
    </w:p>
    <w:p w14:paraId="1B3B14E1" w14:textId="449CCB03" w:rsidR="00494C42" w:rsidRDefault="00494C42" w:rsidP="000B5192">
      <w:pPr>
        <w:rPr>
          <w:rFonts w:eastAsiaTheme="minorEastAsia"/>
          <w:lang w:val="da-DK"/>
        </w:rPr>
      </w:pPr>
    </w:p>
    <w:p w14:paraId="4E2512AC" w14:textId="7F4A2F7D" w:rsidR="00494C42" w:rsidRDefault="00494C42" w:rsidP="000B5192">
      <w:pPr>
        <w:rPr>
          <w:rFonts w:eastAsiaTheme="minorEastAsia"/>
          <w:lang w:val="da-DK"/>
        </w:rPr>
      </w:pPr>
    </w:p>
    <w:p w14:paraId="168520F1" w14:textId="77777777" w:rsidR="00494C42" w:rsidRDefault="00494C42" w:rsidP="000B5192">
      <w:pPr>
        <w:rPr>
          <w:rFonts w:eastAsiaTheme="minorEastAsia"/>
          <w:b/>
          <w:bCs/>
          <w:lang w:val="da-DK"/>
        </w:rPr>
      </w:pPr>
    </w:p>
    <w:p w14:paraId="6DAE6515" w14:textId="50DBACE8" w:rsidR="00494C42" w:rsidRDefault="00494C42" w:rsidP="000B5192">
      <w:pPr>
        <w:rPr>
          <w:rFonts w:eastAsiaTheme="minorEastAsia"/>
          <w:lang w:val="da-DK"/>
        </w:rPr>
      </w:pPr>
      <w:r>
        <w:rPr>
          <w:rFonts w:eastAsiaTheme="minorEastAsia"/>
          <w:b/>
          <w:bCs/>
          <w:lang w:val="da-DK"/>
        </w:rPr>
        <w:lastRenderedPageBreak/>
        <w:t>3.2</w:t>
      </w:r>
    </w:p>
    <w:p w14:paraId="6FED19C4" w14:textId="29D70532" w:rsidR="00494C42" w:rsidRDefault="00494C42" w:rsidP="000B5192">
      <w:pPr>
        <w:rPr>
          <w:rFonts w:eastAsiaTheme="minorEastAsia"/>
          <w:lang w:val="da-DK"/>
        </w:rPr>
      </w:pPr>
      <w:r>
        <w:rPr>
          <w:rFonts w:eastAsiaTheme="minorEastAsia"/>
          <w:noProof/>
          <w:lang w:val="da-DK"/>
        </w:rPr>
        <w:drawing>
          <wp:inline distT="0" distB="0" distL="0" distR="0" wp14:anchorId="0032DBAA" wp14:editId="3AF73EB4">
            <wp:extent cx="3975100" cy="115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975100" cy="1155700"/>
                    </a:xfrm>
                    <a:prstGeom prst="rect">
                      <a:avLst/>
                    </a:prstGeom>
                  </pic:spPr>
                </pic:pic>
              </a:graphicData>
            </a:graphic>
          </wp:inline>
        </w:drawing>
      </w:r>
    </w:p>
    <w:p w14:paraId="38EF0ABC" w14:textId="457B9148" w:rsidR="009D23B6" w:rsidRDefault="009D23B6" w:rsidP="000B5192">
      <w:pPr>
        <w:rPr>
          <w:rFonts w:eastAsiaTheme="minorEastAsia"/>
          <w:lang w:val="da-DK"/>
        </w:rPr>
      </w:pPr>
    </w:p>
    <w:p w14:paraId="30815FD5" w14:textId="78FB11D8" w:rsidR="009D23B6" w:rsidRDefault="009D23B6" w:rsidP="000B5192">
      <w:pPr>
        <w:rPr>
          <w:rFonts w:eastAsiaTheme="minorEastAsia"/>
          <w:lang w:val="da-DK"/>
        </w:rPr>
      </w:pPr>
      <w:r>
        <w:rPr>
          <w:rFonts w:eastAsiaTheme="minorEastAsia"/>
          <w:lang w:val="da-DK"/>
        </w:rPr>
        <w:t xml:space="preserve">Ved hjælp af Excel beregnes ovenstående værdier. </w:t>
      </w:r>
    </w:p>
    <w:p w14:paraId="17622A8A" w14:textId="182C781C" w:rsidR="009D23B6" w:rsidRDefault="009D23B6" w:rsidP="000B5192">
      <w:pPr>
        <w:rPr>
          <w:rFonts w:eastAsiaTheme="minorEastAsia"/>
          <w:lang w:val="da-DK"/>
        </w:rPr>
      </w:pPr>
      <w:r>
        <w:rPr>
          <w:rFonts w:eastAsiaTheme="minorEastAsia"/>
          <w:lang w:val="da-DK"/>
        </w:rPr>
        <w:t xml:space="preserve">Det forventede afkast er det aritmetiske gennemsnit af de historiske afkast, mens den empiriske varians er afvigelserne fra det forventede afkast opløftet i anden. Dette gøres for at tage højde for negative afvigelser. Standardafvigelsen er bare kvadratroden af variansen. Kovariansen er samvariationen mellem de årlige forventede afkast. </w:t>
      </w:r>
    </w:p>
    <w:p w14:paraId="1493AFD5" w14:textId="00CD3EF9" w:rsidR="009D23B6" w:rsidRDefault="009D23B6" w:rsidP="000B5192">
      <w:pPr>
        <w:rPr>
          <w:rFonts w:eastAsiaTheme="minorEastAsia"/>
          <w:lang w:val="da-DK"/>
        </w:rPr>
      </w:pPr>
    </w:p>
    <w:p w14:paraId="239A8CB5" w14:textId="2A87B5DC" w:rsidR="009D23B6" w:rsidRDefault="009D23B6" w:rsidP="000B5192">
      <w:pPr>
        <w:rPr>
          <w:rFonts w:eastAsiaTheme="minorEastAsia"/>
          <w:lang w:val="da-DK"/>
        </w:rPr>
      </w:pPr>
      <w:r>
        <w:rPr>
          <w:rFonts w:eastAsiaTheme="minorEastAsia"/>
          <w:lang w:val="da-DK"/>
        </w:rPr>
        <w:t>Efterfølgende beregnes korrelationskoefficienten ved følgende formel.</w:t>
      </w:r>
    </w:p>
    <w:p w14:paraId="578756C3" w14:textId="210521E6" w:rsidR="0032188B" w:rsidRPr="0032188B" w:rsidRDefault="009D23B6" w:rsidP="0032188B">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ρ</m:t>
              </m:r>
            </m:e>
            <m:sub>
              <m:r>
                <w:rPr>
                  <w:rFonts w:ascii="Cambria Math" w:eastAsiaTheme="minorEastAsia" w:hAnsi="Cambria Math"/>
                  <w:lang w:val="da-DK"/>
                </w:rPr>
                <m:t>XY</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σ</m:t>
                  </m:r>
                </m:e>
                <m:sub>
                  <m:r>
                    <w:rPr>
                      <w:rFonts w:ascii="Cambria Math" w:eastAsiaTheme="minorEastAsia" w:hAnsi="Cambria Math"/>
                      <w:lang w:val="da-DK"/>
                    </w:rPr>
                    <m:t>XY</m:t>
                  </m:r>
                </m:sub>
              </m:sSub>
            </m:num>
            <m:den>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σ</m:t>
                      </m:r>
                    </m:e>
                    <m:sub>
                      <m:r>
                        <w:rPr>
                          <w:rFonts w:ascii="Cambria Math" w:eastAsiaTheme="minorEastAsia" w:hAnsi="Cambria Math"/>
                          <w:lang w:val="da-DK"/>
                        </w:rPr>
                        <m:t>x</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σ</m:t>
                      </m:r>
                    </m:e>
                    <m:sub>
                      <m:r>
                        <w:rPr>
                          <w:rFonts w:ascii="Cambria Math" w:eastAsiaTheme="minorEastAsia" w:hAnsi="Cambria Math"/>
                          <w:lang w:val="da-DK"/>
                        </w:rPr>
                        <m:t>Y</m:t>
                      </m:r>
                    </m:sub>
                  </m:sSub>
                </m:e>
              </m:d>
            </m:den>
          </m:f>
          <m:r>
            <w:rPr>
              <w:rFonts w:ascii="Cambria Math" w:eastAsiaTheme="minorEastAsia" w:hAnsi="Cambria Math"/>
              <w:lang w:val="da-DK"/>
            </w:rPr>
            <w:br/>
          </m:r>
        </m:oMath>
      </m:oMathPara>
    </w:p>
    <w:p w14:paraId="7D32CD91" w14:textId="5777A53D" w:rsidR="0032188B" w:rsidRDefault="0032188B" w:rsidP="000B5192">
      <w:pPr>
        <w:rPr>
          <w:rFonts w:eastAsiaTheme="minorEastAsia"/>
          <w:lang w:val="da-DK"/>
        </w:rPr>
      </w:pPr>
      <w:r>
        <w:rPr>
          <w:rFonts w:eastAsiaTheme="minorEastAsia"/>
          <w:lang w:val="da-DK"/>
        </w:rPr>
        <w:t xml:space="preserve">Korrelationskoefficienten ligger mellem -1 og 1, og viser hvilken vej aktierne går. Fortegnet foran </w:t>
      </w:r>
      <w:proofErr w:type="spellStart"/>
      <w:r>
        <w:rPr>
          <w:rFonts w:eastAsiaTheme="minorEastAsia"/>
          <w:lang w:val="da-DK"/>
        </w:rPr>
        <w:t>korrelationkoefficienten</w:t>
      </w:r>
      <w:proofErr w:type="spellEnd"/>
      <w:r>
        <w:rPr>
          <w:rFonts w:eastAsiaTheme="minorEastAsia"/>
          <w:lang w:val="da-DK"/>
        </w:rPr>
        <w:t xml:space="preserve"> er positiv, og derfor ”følger” aktierne hinanden. Altså vokser den ene aktie, vokser den anden også, og omvendt ved negativ vækst. </w:t>
      </w:r>
    </w:p>
    <w:p w14:paraId="240AEBA1" w14:textId="51FE4A7E" w:rsidR="0032188B" w:rsidRDefault="0032188B" w:rsidP="000B5192">
      <w:pPr>
        <w:rPr>
          <w:rFonts w:eastAsiaTheme="minorEastAsia"/>
          <w:lang w:val="da-DK"/>
        </w:rPr>
      </w:pPr>
    </w:p>
    <w:p w14:paraId="237C96CC" w14:textId="1DD316BF" w:rsidR="0032188B" w:rsidRDefault="0032188B" w:rsidP="000B5192">
      <w:pPr>
        <w:rPr>
          <w:rFonts w:eastAsiaTheme="minorEastAsia"/>
          <w:lang w:val="da-DK"/>
        </w:rPr>
      </w:pPr>
      <w:r>
        <w:rPr>
          <w:rFonts w:eastAsiaTheme="minorEastAsia"/>
          <w:lang w:val="da-DK"/>
        </w:rPr>
        <w:t xml:space="preserve">Den positive korrelationskoefficient betyder at aktierne følger hinanden. Dette er dog usandsynligt, da det er vidt forskellige brancher, de opererer i. Men generelt følger alle aktier markedet, og alle aktier har som regel en positiv </w:t>
      </w:r>
      <w:proofErr w:type="spellStart"/>
      <w:r>
        <w:rPr>
          <w:rFonts w:eastAsiaTheme="minorEastAsia"/>
          <w:lang w:val="da-DK"/>
        </w:rPr>
        <w:t>samvariation</w:t>
      </w:r>
      <w:proofErr w:type="spellEnd"/>
      <w:r>
        <w:rPr>
          <w:rFonts w:eastAsiaTheme="minorEastAsia"/>
          <w:lang w:val="da-DK"/>
        </w:rPr>
        <w:t xml:space="preserve"> med markedet. Altså stiger markedet, stiger alle. (Meget generelt)</w:t>
      </w:r>
    </w:p>
    <w:p w14:paraId="1C26738F" w14:textId="0A2BF58B" w:rsidR="0032188B" w:rsidRDefault="0032188B" w:rsidP="000B5192">
      <w:pPr>
        <w:rPr>
          <w:rFonts w:eastAsiaTheme="minorEastAsia"/>
          <w:lang w:val="da-DK"/>
        </w:rPr>
      </w:pPr>
    </w:p>
    <w:p w14:paraId="537778A3" w14:textId="2BAFEA8B" w:rsidR="0032188B" w:rsidRDefault="0032188B" w:rsidP="000B5192">
      <w:pPr>
        <w:rPr>
          <w:rFonts w:eastAsiaTheme="minorEastAsia"/>
          <w:lang w:val="da-DK"/>
        </w:rPr>
      </w:pPr>
      <w:r>
        <w:rPr>
          <w:rFonts w:eastAsiaTheme="minorEastAsia"/>
          <w:b/>
          <w:bCs/>
          <w:lang w:val="da-DK"/>
        </w:rPr>
        <w:t>3.3</w:t>
      </w:r>
    </w:p>
    <w:p w14:paraId="16C5A5EC" w14:textId="73080595" w:rsidR="0032188B" w:rsidRDefault="0032188B" w:rsidP="000B5192">
      <w:pPr>
        <w:rPr>
          <w:rFonts w:eastAsiaTheme="minorEastAsia"/>
          <w:lang w:val="da-DK"/>
        </w:rPr>
      </w:pPr>
      <w:r>
        <w:rPr>
          <w:rFonts w:eastAsiaTheme="minorEastAsia"/>
          <w:lang w:val="da-DK"/>
        </w:rPr>
        <w:t xml:space="preserve">Ved hjælp af formlen </w:t>
      </w:r>
      <m:oMath>
        <m:r>
          <w:rPr>
            <w:rFonts w:ascii="Cambria Math" w:eastAsiaTheme="minorEastAsia" w:hAnsi="Cambria Math"/>
            <w:lang w:val="da-DK"/>
          </w:rPr>
          <m:t>Forventet afkast(X)=</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ss</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SS</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SS</m:t>
                </m:r>
              </m:sub>
            </m:sSub>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WB</m:t>
            </m:r>
          </m:sub>
        </m:sSub>
      </m:oMath>
      <w:r>
        <w:rPr>
          <w:rFonts w:eastAsiaTheme="minorEastAsia"/>
          <w:lang w:val="da-DK"/>
        </w:rPr>
        <w:t xml:space="preserve"> findes det forventede afkast for porteføljen. </w:t>
      </w:r>
    </w:p>
    <w:p w14:paraId="74B9BFDC" w14:textId="15CB1766" w:rsidR="0032188B" w:rsidRDefault="0032188B" w:rsidP="000B5192">
      <w:pPr>
        <w:rPr>
          <w:rFonts w:eastAsiaTheme="minorEastAsia"/>
          <w:lang w:val="da-DK"/>
        </w:rPr>
      </w:pPr>
      <w:r>
        <w:rPr>
          <w:rFonts w:eastAsiaTheme="minorEastAsia"/>
          <w:lang w:val="da-DK"/>
        </w:rPr>
        <w:t xml:space="preserve">Hvor W beskriver vægten og X beskriver forventet afkast. </w:t>
      </w:r>
    </w:p>
    <w:p w14:paraId="42328270" w14:textId="0F1D2CCF" w:rsidR="0032188B" w:rsidRPr="00A16D9F" w:rsidRDefault="0032188B" w:rsidP="000B5192">
      <w:pPr>
        <w:rPr>
          <w:rFonts w:eastAsiaTheme="minorEastAsia"/>
          <w:lang w:val="da-DK"/>
        </w:rPr>
      </w:pPr>
      <w:r>
        <w:rPr>
          <w:rFonts w:eastAsiaTheme="minorEastAsia"/>
          <w:lang w:val="da-DK"/>
        </w:rPr>
        <w:t xml:space="preserve">Vha. Af formlen </w:t>
      </w:r>
      <m:oMath>
        <m:r>
          <w:rPr>
            <w:rFonts w:ascii="Cambria Math" w:eastAsiaTheme="minorEastAsia" w:hAnsi="Cambria Math"/>
            <w:lang w:val="da-DK"/>
          </w:rPr>
          <m:t>σ=</m:t>
        </m:r>
        <m:rad>
          <m:radPr>
            <m:degHide m:val="1"/>
            <m:ctrlPr>
              <w:rPr>
                <w:rFonts w:ascii="Cambria Math" w:eastAsiaTheme="minorEastAsia" w:hAnsi="Cambria Math"/>
                <w:i/>
                <w:lang w:val="da-DK"/>
              </w:rPr>
            </m:ctrlPr>
          </m:radPr>
          <m:deg/>
          <m:e>
            <m:sSubSup>
              <m:sSubSupPr>
                <m:ctrlPr>
                  <w:rPr>
                    <w:rFonts w:ascii="Cambria Math" w:eastAsiaTheme="minorEastAsia" w:hAnsi="Cambria Math"/>
                    <w:i/>
                    <w:lang w:val="da-DK"/>
                  </w:rPr>
                </m:ctrlPr>
              </m:sSubSupPr>
              <m:e>
                <m:r>
                  <w:rPr>
                    <w:rFonts w:ascii="Cambria Math" w:eastAsiaTheme="minorEastAsia" w:hAnsi="Cambria Math"/>
                    <w:lang w:val="da-DK"/>
                  </w:rPr>
                  <m:t>W</m:t>
                </m:r>
              </m:e>
              <m:sub>
                <m:r>
                  <w:rPr>
                    <w:rFonts w:ascii="Cambria Math" w:eastAsiaTheme="minorEastAsia" w:hAnsi="Cambria Math"/>
                    <w:lang w:val="da-DK"/>
                  </w:rPr>
                  <m:t>SS</m:t>
                </m:r>
              </m:sub>
              <m:sup>
                <m:r>
                  <w:rPr>
                    <w:rFonts w:ascii="Cambria Math" w:eastAsiaTheme="minorEastAsia" w:hAnsi="Cambria Math"/>
                    <w:lang w:val="da-DK"/>
                  </w:rPr>
                  <m:t>2</m:t>
                </m:r>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σ</m:t>
                </m:r>
              </m:e>
              <m:sub>
                <m:r>
                  <w:rPr>
                    <w:rFonts w:ascii="Cambria Math" w:eastAsiaTheme="minorEastAsia" w:hAnsi="Cambria Math"/>
                    <w:lang w:val="da-DK"/>
                  </w:rPr>
                  <m:t>SS</m:t>
                </m:r>
              </m:sub>
              <m:sup>
                <m:r>
                  <w:rPr>
                    <w:rFonts w:ascii="Cambria Math" w:eastAsiaTheme="minorEastAsia" w:hAnsi="Cambria Math"/>
                    <w:lang w:val="da-DK"/>
                  </w:rPr>
                  <m:t>2</m:t>
                </m:r>
              </m:sup>
            </m:sSub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ss</m:t>
                        </m:r>
                      </m:sub>
                    </m:sSub>
                  </m:e>
                </m:d>
              </m:e>
              <m:sup>
                <m:r>
                  <w:rPr>
                    <w:rFonts w:ascii="Cambria Math" w:eastAsiaTheme="minorEastAsia" w:hAnsi="Cambria Math"/>
                    <w:lang w:val="da-DK"/>
                  </w:rPr>
                  <m:t>2</m:t>
                </m:r>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σ</m:t>
                </m:r>
              </m:e>
              <m:sub>
                <m:r>
                  <w:rPr>
                    <w:rFonts w:ascii="Cambria Math" w:eastAsiaTheme="minorEastAsia" w:hAnsi="Cambria Math"/>
                    <w:lang w:val="da-DK"/>
                  </w:rPr>
                  <m:t>WB</m:t>
                </m:r>
              </m:sub>
              <m:sup>
                <m:r>
                  <w:rPr>
                    <w:rFonts w:ascii="Cambria Math" w:eastAsiaTheme="minorEastAsia" w:hAnsi="Cambria Math"/>
                    <w:lang w:val="da-DK"/>
                  </w:rPr>
                  <m:t>2</m:t>
                </m:r>
              </m:sup>
            </m:sSubSup>
            <m:r>
              <w:rPr>
                <w:rFonts w:ascii="Cambria Math" w:eastAsiaTheme="minorEastAsia" w:hAnsi="Cambria Math"/>
                <w:lang w:val="da-DK"/>
              </w:rPr>
              <m:t>+2·</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SS</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W</m:t>
                    </m:r>
                  </m:e>
                  <m:sub>
                    <m:r>
                      <w:rPr>
                        <w:rFonts w:ascii="Cambria Math" w:eastAsiaTheme="minorEastAsia" w:hAnsi="Cambria Math"/>
                        <w:lang w:val="da-DK"/>
                      </w:rPr>
                      <m:t>SS</m:t>
                    </m:r>
                  </m:sub>
                </m:sSub>
              </m:e>
            </m:d>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σ</m:t>
                </m:r>
              </m:e>
              <m:sub>
                <m:r>
                  <w:rPr>
                    <w:rFonts w:ascii="Cambria Math" w:eastAsiaTheme="minorEastAsia" w:hAnsi="Cambria Math"/>
                    <w:lang w:val="da-DK"/>
                  </w:rPr>
                  <m:t>SS,WB</m:t>
                </m:r>
              </m:sub>
            </m:sSub>
          </m:e>
        </m:rad>
      </m:oMath>
    </w:p>
    <w:p w14:paraId="6D4CAEE7" w14:textId="60275920" w:rsidR="00A16D9F" w:rsidRDefault="0071514E" w:rsidP="000B5192">
      <w:pPr>
        <w:rPr>
          <w:rFonts w:eastAsiaTheme="minorEastAsia"/>
          <w:lang w:val="da-DK"/>
        </w:rPr>
      </w:pPr>
      <w:r>
        <w:rPr>
          <w:rFonts w:eastAsiaTheme="minorEastAsia"/>
          <w:lang w:val="da-DK"/>
        </w:rPr>
        <w:t xml:space="preserve">Dette udregnes og illustreres vha. Excel. </w:t>
      </w:r>
    </w:p>
    <w:p w14:paraId="60930FD1" w14:textId="68B68531" w:rsidR="0071514E" w:rsidRDefault="0071514E" w:rsidP="000B5192">
      <w:pPr>
        <w:rPr>
          <w:rFonts w:eastAsiaTheme="minorEastAsia"/>
          <w:lang w:val="da-DK"/>
        </w:rPr>
      </w:pPr>
      <w:r>
        <w:rPr>
          <w:noProof/>
        </w:rPr>
        <w:lastRenderedPageBreak/>
        <w:drawing>
          <wp:inline distT="0" distB="0" distL="0" distR="0" wp14:anchorId="6217C7DD" wp14:editId="455B5C4D">
            <wp:extent cx="4572000" cy="2743200"/>
            <wp:effectExtent l="0" t="0" r="12700" b="12700"/>
            <wp:docPr id="1" name="Chart 1">
              <a:extLst xmlns:a="http://schemas.openxmlformats.org/drawingml/2006/main">
                <a:ext uri="{FF2B5EF4-FFF2-40B4-BE49-F238E27FC236}">
                  <a16:creationId xmlns:a16="http://schemas.microsoft.com/office/drawing/2014/main" id="{EE7DC5B8-AB9E-5147-B6FA-34709F6BD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20979F" w14:textId="575EB028" w:rsidR="0071514E" w:rsidRDefault="0071514E" w:rsidP="000B5192">
      <w:pPr>
        <w:rPr>
          <w:rFonts w:eastAsiaTheme="minorEastAsia"/>
          <w:lang w:val="da-DK"/>
        </w:rPr>
      </w:pPr>
    </w:p>
    <w:p w14:paraId="6698CAEA" w14:textId="05685E63" w:rsidR="0071514E" w:rsidRDefault="0071514E" w:rsidP="000B5192">
      <w:pPr>
        <w:rPr>
          <w:rFonts w:eastAsiaTheme="minorEastAsia"/>
          <w:lang w:val="da-DK"/>
        </w:rPr>
      </w:pPr>
      <w:r>
        <w:rPr>
          <w:rFonts w:eastAsiaTheme="minorEastAsia"/>
          <w:lang w:val="da-DK"/>
        </w:rPr>
        <w:t>Det kan aflæses ud fra figuren at en vægtning på 20% WB og 80</w:t>
      </w:r>
      <w:r w:rsidR="00FE0EC0">
        <w:rPr>
          <w:rFonts w:eastAsiaTheme="minorEastAsia"/>
          <w:lang w:val="da-DK"/>
        </w:rPr>
        <w:t>%</w:t>
      </w:r>
      <w:r>
        <w:rPr>
          <w:rFonts w:eastAsiaTheme="minorEastAsia"/>
          <w:lang w:val="da-DK"/>
        </w:rPr>
        <w:t xml:space="preserve"> </w:t>
      </w:r>
      <w:r w:rsidR="00FE0EC0">
        <w:rPr>
          <w:rFonts w:eastAsiaTheme="minorEastAsia"/>
          <w:lang w:val="da-DK"/>
        </w:rPr>
        <w:t>SS</w:t>
      </w:r>
      <w:r>
        <w:rPr>
          <w:rFonts w:eastAsiaTheme="minorEastAsia"/>
          <w:lang w:val="da-DK"/>
        </w:rPr>
        <w:t xml:space="preserve"> giver den ultimativt laveste standardafvigelse og risiko. Forskellen til </w:t>
      </w:r>
      <w:r w:rsidR="00FE0EC0">
        <w:rPr>
          <w:rFonts w:eastAsiaTheme="minorEastAsia"/>
          <w:lang w:val="da-DK"/>
        </w:rPr>
        <w:t xml:space="preserve">vægtningen af 30% WB og 70% SS er dog minimal, dog har den sidstnævnte et højere forventet afkast. </w:t>
      </w:r>
    </w:p>
    <w:p w14:paraId="0FF9AC72" w14:textId="785958E4" w:rsidR="00FE0EC0" w:rsidRDefault="00FE0EC0" w:rsidP="000B5192">
      <w:pPr>
        <w:rPr>
          <w:rFonts w:eastAsiaTheme="minorEastAsia"/>
          <w:lang w:val="da-DK"/>
        </w:rPr>
      </w:pPr>
    </w:p>
    <w:p w14:paraId="16B42DF9" w14:textId="5CB8DD80" w:rsidR="00FE0EC0" w:rsidRDefault="00FE0EC0" w:rsidP="000B5192">
      <w:pPr>
        <w:rPr>
          <w:rFonts w:eastAsiaTheme="minorEastAsia"/>
          <w:lang w:val="da-DK"/>
        </w:rPr>
      </w:pPr>
      <w:r>
        <w:rPr>
          <w:rFonts w:eastAsiaTheme="minorEastAsia"/>
          <w:lang w:val="da-DK"/>
        </w:rPr>
        <w:t xml:space="preserve">Intuitionen bag dette er diversifikationsprincippet. Princippet siger at man kan få lavere risiko(givet ved standardafvigelsen) uden at opgive afkast ved at have begge værdipapirer i porteføljen kontra kun at investere i den ene. </w:t>
      </w:r>
    </w:p>
    <w:p w14:paraId="3B1653BD" w14:textId="62974423" w:rsidR="00FE0EC0" w:rsidRDefault="00FE0EC0" w:rsidP="000B5192">
      <w:pPr>
        <w:rPr>
          <w:rFonts w:eastAsiaTheme="minorEastAsia"/>
          <w:lang w:val="da-DK"/>
        </w:rPr>
      </w:pPr>
    </w:p>
    <w:p w14:paraId="601DE1AF" w14:textId="53DFC67A" w:rsidR="00FE0EC0" w:rsidRDefault="00FE0EC0" w:rsidP="000B5192">
      <w:pPr>
        <w:rPr>
          <w:rFonts w:eastAsiaTheme="minorEastAsia"/>
          <w:b/>
          <w:bCs/>
          <w:lang w:val="da-DK"/>
        </w:rPr>
      </w:pPr>
      <w:r>
        <w:rPr>
          <w:rFonts w:eastAsiaTheme="minorEastAsia"/>
          <w:b/>
          <w:bCs/>
          <w:lang w:val="da-DK"/>
        </w:rPr>
        <w:t>3.4</w:t>
      </w:r>
    </w:p>
    <w:p w14:paraId="4ACE0DB0" w14:textId="2C713B0B" w:rsidR="007D3CDB" w:rsidRDefault="007D3CDB" w:rsidP="000B5192">
      <w:pPr>
        <w:rPr>
          <w:rFonts w:eastAsiaTheme="minorEastAsia"/>
          <w:lang w:val="da-DK"/>
        </w:rPr>
      </w:pPr>
      <w:r>
        <w:rPr>
          <w:rFonts w:eastAsiaTheme="minorEastAsia"/>
          <w:lang w:val="da-DK"/>
        </w:rPr>
        <w:t xml:space="preserve">Ved at tilføje et risikofrit aktiv med negativt afkast, vil han mindske sin risiko, men han vil ikke opnå et højere afkast. </w:t>
      </w:r>
    </w:p>
    <w:p w14:paraId="0EF2DEE1" w14:textId="30DFAF29" w:rsidR="007D3CDB" w:rsidRDefault="006720A0" w:rsidP="000B5192">
      <w:pPr>
        <w:rPr>
          <w:rFonts w:eastAsiaTheme="minorEastAsia"/>
          <w:lang w:val="da-DK"/>
        </w:rPr>
      </w:pPr>
      <w:r>
        <w:rPr>
          <w:noProof/>
        </w:rPr>
        <w:drawing>
          <wp:inline distT="0" distB="0" distL="0" distR="0" wp14:anchorId="104F952F" wp14:editId="0E506520">
            <wp:extent cx="4927600" cy="2527300"/>
            <wp:effectExtent l="0" t="0" r="12700" b="12700"/>
            <wp:docPr id="15" name="Chart 15">
              <a:extLst xmlns:a="http://schemas.openxmlformats.org/drawingml/2006/main">
                <a:ext uri="{FF2B5EF4-FFF2-40B4-BE49-F238E27FC236}">
                  <a16:creationId xmlns:a16="http://schemas.microsoft.com/office/drawing/2014/main" id="{EE7DC5B8-AB9E-5147-B6FA-34709F6BD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129E99" w14:textId="20885E06" w:rsidR="006720A0" w:rsidRPr="007D3CDB" w:rsidRDefault="006720A0" w:rsidP="000B5192">
      <w:pPr>
        <w:rPr>
          <w:rFonts w:eastAsiaTheme="minorEastAsia"/>
          <w:lang w:val="da-DK"/>
        </w:rPr>
      </w:pPr>
      <w:r>
        <w:rPr>
          <w:rFonts w:eastAsiaTheme="minorEastAsia"/>
          <w:lang w:val="da-DK"/>
        </w:rPr>
        <w:t xml:space="preserve">Ved tilføjelse at et risikofrit aktiv vil han ikke kunne opnår højere afkast, men han vil kunne få lavere risiko ved en mindre andel i porteføljen bestående af SS og WB. Siden Ole er risikoavers skal han vælge og lægge penge i både M og RF. </w:t>
      </w:r>
    </w:p>
    <w:p w14:paraId="009AB9FA" w14:textId="58B1CB33" w:rsidR="00FE0EC0" w:rsidRDefault="00FE0EC0" w:rsidP="000B5192">
      <w:pPr>
        <w:rPr>
          <w:rFonts w:eastAsiaTheme="minorEastAsia"/>
          <w:lang w:val="da-DK"/>
        </w:rPr>
      </w:pPr>
    </w:p>
    <w:p w14:paraId="37CD35B9" w14:textId="493E6ACD" w:rsidR="00FE0EC0" w:rsidRDefault="00FE0EC0" w:rsidP="000B5192">
      <w:pPr>
        <w:rPr>
          <w:rFonts w:eastAsiaTheme="minorEastAsia"/>
          <w:lang w:val="da-DK"/>
        </w:rPr>
      </w:pPr>
      <w:r>
        <w:rPr>
          <w:rFonts w:eastAsiaTheme="minorEastAsia"/>
          <w:b/>
          <w:bCs/>
          <w:lang w:val="da-DK"/>
        </w:rPr>
        <w:t>4.1</w:t>
      </w:r>
    </w:p>
    <w:p w14:paraId="7A9424A5" w14:textId="546686F9" w:rsidR="00FE0EC0" w:rsidRDefault="00FE0EC0" w:rsidP="000B5192">
      <w:pPr>
        <w:rPr>
          <w:rFonts w:eastAsiaTheme="minorEastAsia"/>
          <w:lang w:val="da-DK"/>
        </w:rPr>
      </w:pPr>
      <w:r>
        <w:rPr>
          <w:rFonts w:eastAsiaTheme="minorEastAsia"/>
          <w:lang w:val="da-DK"/>
        </w:rPr>
        <w:t xml:space="preserve">Ved FKK er jordejerens totale omkostningsfunktion givet ved </w:t>
      </w:r>
      <m:oMath>
        <m:r>
          <w:rPr>
            <w:rFonts w:ascii="Cambria Math" w:eastAsiaTheme="minorEastAsia" w:hAnsi="Cambria Math"/>
            <w:lang w:val="da-DK"/>
          </w:rPr>
          <m:t>TC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=F+eQ+a</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2</m:t>
            </m:r>
          </m:sup>
        </m:sSup>
      </m:oMath>
    </w:p>
    <w:p w14:paraId="7C54DDB0" w14:textId="4D050171" w:rsidR="00FE0EC0" w:rsidRDefault="00FE0EC0" w:rsidP="00FE0EC0">
      <w:pPr>
        <w:jc w:val="both"/>
        <w:rPr>
          <w:rFonts w:eastAsiaTheme="minorEastAsia"/>
          <w:lang w:val="da-DK"/>
        </w:rPr>
      </w:pPr>
      <w:r>
        <w:rPr>
          <w:rFonts w:eastAsiaTheme="minorEastAsia"/>
          <w:lang w:val="da-DK"/>
        </w:rPr>
        <w:t xml:space="preserve">Mens den samlede efterspørgsel er givet ved </w:t>
      </w:r>
      <m:oMath>
        <m:r>
          <w:rPr>
            <w:rFonts w:ascii="Cambria Math" w:eastAsiaTheme="minorEastAsia" w:hAnsi="Cambria Math"/>
            <w:lang w:val="da-DK"/>
          </w:rPr>
          <m:t>D</m:t>
        </m:r>
        <m:d>
          <m:dPr>
            <m:ctrlPr>
              <w:rPr>
                <w:rFonts w:ascii="Cambria Math" w:eastAsiaTheme="minorEastAsia" w:hAnsi="Cambria Math"/>
                <w:i/>
                <w:lang w:val="da-DK"/>
              </w:rPr>
            </m:ctrlPr>
          </m:dPr>
          <m:e>
            <m:r>
              <w:rPr>
                <w:rFonts w:ascii="Cambria Math" w:eastAsiaTheme="minorEastAsia" w:hAnsi="Cambria Math"/>
                <w:lang w:val="da-DK"/>
              </w:rPr>
              <m:t>P</m:t>
            </m:r>
          </m:e>
        </m:d>
        <m:r>
          <w:rPr>
            <w:rFonts w:ascii="Cambria Math" w:eastAsiaTheme="minorEastAsia" w:hAnsi="Cambria Math"/>
            <w:lang w:val="da-DK"/>
          </w:rPr>
          <m:t>=Y-P</m:t>
        </m:r>
      </m:oMath>
    </w:p>
    <w:p w14:paraId="54152CA2" w14:textId="4342A3F7" w:rsidR="00FE0EC0" w:rsidRDefault="00FE0EC0" w:rsidP="00FE0EC0">
      <w:pPr>
        <w:jc w:val="both"/>
        <w:rPr>
          <w:rFonts w:eastAsiaTheme="minorEastAsia"/>
          <w:lang w:val="da-DK"/>
        </w:rPr>
      </w:pPr>
      <w:r>
        <w:rPr>
          <w:rFonts w:eastAsiaTheme="minorEastAsia"/>
          <w:lang w:val="da-DK"/>
        </w:rPr>
        <w:lastRenderedPageBreak/>
        <w:t xml:space="preserve">Herved bliver jordejerens AC: </w:t>
      </w:r>
    </w:p>
    <w:p w14:paraId="6E991278" w14:textId="3D6471C1" w:rsidR="00FE0EC0" w:rsidRDefault="00FE0EC0" w:rsidP="00FE0EC0">
      <w:pPr>
        <w:jc w:val="both"/>
        <w:rPr>
          <w:rFonts w:eastAsiaTheme="minorEastAsia"/>
          <w:lang w:val="da-DK"/>
        </w:rPr>
      </w:pPr>
      <m:oMathPara>
        <m:oMath>
          <m:r>
            <w:rPr>
              <w:rFonts w:ascii="Cambria Math" w:eastAsiaTheme="minorEastAsia" w:hAnsi="Cambria Math"/>
              <w:lang w:val="da-DK"/>
            </w:rPr>
            <m:t>AC=</m:t>
          </m:r>
          <m:f>
            <m:fPr>
              <m:ctrlPr>
                <w:rPr>
                  <w:rFonts w:ascii="Cambria Math" w:eastAsiaTheme="minorEastAsia" w:hAnsi="Cambria Math"/>
                  <w:i/>
                  <w:lang w:val="da-DK"/>
                </w:rPr>
              </m:ctrlPr>
            </m:fPr>
            <m:num>
              <m:r>
                <w:rPr>
                  <w:rFonts w:ascii="Cambria Math" w:eastAsiaTheme="minorEastAsia" w:hAnsi="Cambria Math"/>
                  <w:lang w:val="da-DK"/>
                </w:rPr>
                <m:t>F</m:t>
              </m:r>
            </m:num>
            <m:den>
              <m:r>
                <w:rPr>
                  <w:rFonts w:ascii="Cambria Math" w:eastAsiaTheme="minorEastAsia" w:hAnsi="Cambria Math"/>
                  <w:lang w:val="da-DK"/>
                </w:rPr>
                <m:t>Q</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eQ</m:t>
              </m:r>
            </m:num>
            <m:den>
              <m:r>
                <w:rPr>
                  <w:rFonts w:ascii="Cambria Math" w:eastAsiaTheme="minorEastAsia" w:hAnsi="Cambria Math"/>
                  <w:lang w:val="da-DK"/>
                </w:rPr>
                <m:t>Q</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a</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2</m:t>
                  </m:r>
                </m:sup>
              </m:sSup>
            </m:num>
            <m:den>
              <m:r>
                <w:rPr>
                  <w:rFonts w:ascii="Cambria Math" w:eastAsiaTheme="minorEastAsia" w:hAnsi="Cambria Math"/>
                  <w:lang w:val="da-DK"/>
                </w:rPr>
                <m:t>Q</m:t>
              </m:r>
            </m:den>
          </m:f>
          <m:r>
            <w:rPr>
              <w:rFonts w:ascii="Cambria Math" w:eastAsiaTheme="minorEastAsia" w:hAnsi="Cambria Math"/>
              <w:lang w:val="da-DK"/>
            </w:rPr>
            <w:br/>
          </m:r>
        </m:oMath>
        <m:oMath>
          <m:r>
            <w:rPr>
              <w:rFonts w:ascii="Cambria Math" w:eastAsiaTheme="minorEastAsia" w:hAnsi="Cambria Math"/>
              <w:lang w:val="da-DK"/>
            </w:rPr>
            <m:t>AC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F</m:t>
              </m:r>
            </m:num>
            <m:den>
              <m:r>
                <w:rPr>
                  <w:rFonts w:ascii="Cambria Math" w:eastAsiaTheme="minorEastAsia" w:hAnsi="Cambria Math"/>
                  <w:lang w:val="da-DK"/>
                </w:rPr>
                <m:t>Q</m:t>
              </m:r>
            </m:den>
          </m:f>
          <m:r>
            <w:rPr>
              <w:rFonts w:ascii="Cambria Math" w:eastAsiaTheme="minorEastAsia" w:hAnsi="Cambria Math"/>
              <w:lang w:val="da-DK"/>
            </w:rPr>
            <m:t>+e+aQ</m:t>
          </m:r>
          <m:r>
            <w:rPr>
              <w:rFonts w:ascii="Cambria Math" w:eastAsiaTheme="minorEastAsia" w:hAnsi="Cambria Math"/>
              <w:lang w:val="da-DK"/>
            </w:rPr>
            <w:br/>
          </m:r>
        </m:oMath>
      </m:oMathPara>
      <w:r>
        <w:rPr>
          <w:rFonts w:eastAsiaTheme="minorEastAsia"/>
          <w:lang w:val="da-DK"/>
        </w:rPr>
        <w:t xml:space="preserve">Mens marginalomkostningen findes ved differentiering. </w:t>
      </w:r>
    </w:p>
    <w:p w14:paraId="6F41417E" w14:textId="0B574F4E" w:rsidR="00FE0EC0" w:rsidRPr="001F76AA" w:rsidRDefault="00FE0EC0" w:rsidP="00FE0EC0">
      <w:pPr>
        <w:jc w:val="both"/>
        <w:rPr>
          <w:rFonts w:eastAsiaTheme="minorEastAsia"/>
          <w:lang w:val="da-DK"/>
        </w:rPr>
      </w:pPr>
      <m:oMathPara>
        <m:oMath>
          <m:r>
            <w:rPr>
              <w:rFonts w:ascii="Cambria Math" w:eastAsiaTheme="minorEastAsia" w:hAnsi="Cambria Math"/>
              <w:lang w:val="da-DK"/>
            </w:rPr>
            <m:t>MC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=e+</m:t>
          </m:r>
          <m:r>
            <w:rPr>
              <w:rFonts w:ascii="Cambria Math" w:eastAsiaTheme="minorEastAsia" w:hAnsi="Cambria Math"/>
              <w:lang w:val="da-DK"/>
            </w:rPr>
            <m:t>2aQ</m:t>
          </m:r>
        </m:oMath>
      </m:oMathPara>
    </w:p>
    <w:p w14:paraId="538408ED" w14:textId="166A80FA" w:rsidR="001F76AA" w:rsidRDefault="006720A0" w:rsidP="00FE0EC0">
      <w:pPr>
        <w:jc w:val="both"/>
        <w:rPr>
          <w:rFonts w:eastAsiaTheme="minorEastAsia"/>
          <w:lang w:val="da-DK"/>
        </w:rPr>
      </w:pPr>
      <w:r>
        <w:rPr>
          <w:rFonts w:eastAsiaTheme="minorEastAsia"/>
          <w:lang w:val="da-DK"/>
        </w:rPr>
        <w:t xml:space="preserve">Den minimale efficiente skala findes ved MC=AC. </w:t>
      </w:r>
    </w:p>
    <w:p w14:paraId="0EE2BCE2" w14:textId="1D152492" w:rsidR="006720A0" w:rsidRPr="006720A0" w:rsidRDefault="006720A0" w:rsidP="00FE0EC0">
      <w:pPr>
        <w:jc w:val="both"/>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F</m:t>
              </m:r>
            </m:num>
            <m:den>
              <m:r>
                <w:rPr>
                  <w:rFonts w:ascii="Cambria Math" w:eastAsiaTheme="minorEastAsia" w:hAnsi="Cambria Math"/>
                  <w:lang w:val="da-DK"/>
                </w:rPr>
                <m:t>Q</m:t>
              </m:r>
            </m:den>
          </m:f>
          <m:r>
            <w:rPr>
              <w:rFonts w:ascii="Cambria Math" w:eastAsiaTheme="minorEastAsia" w:hAnsi="Cambria Math"/>
              <w:lang w:val="da-DK"/>
            </w:rPr>
            <m:t>+e+aQ=e+2aQ</m:t>
          </m:r>
          <m: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F</m:t>
              </m:r>
            </m:num>
            <m:den>
              <m:r>
                <w:rPr>
                  <w:rFonts w:ascii="Cambria Math" w:eastAsiaTheme="minorEastAsia" w:hAnsi="Cambria Math"/>
                  <w:lang w:val="da-DK"/>
                </w:rPr>
                <m:t>Q</m:t>
              </m:r>
            </m:den>
          </m:f>
          <m:r>
            <w:rPr>
              <w:rFonts w:ascii="Cambria Math" w:eastAsiaTheme="minorEastAsia" w:hAnsi="Cambria Math"/>
              <w:lang w:val="da-DK"/>
            </w:rPr>
            <m:t>=aQ</m:t>
          </m:r>
          <m:r>
            <w:rPr>
              <w:rFonts w:ascii="Cambria Math" w:eastAsiaTheme="minorEastAsia" w:hAnsi="Cambria Math"/>
              <w:lang w:val="da-DK"/>
            </w:rPr>
            <w:br/>
          </m:r>
        </m:oMath>
        <m:oMath>
          <m:r>
            <w:rPr>
              <w:rFonts w:ascii="Cambria Math" w:eastAsiaTheme="minorEastAsia" w:hAnsi="Cambria Math"/>
              <w:lang w:val="da-DK"/>
            </w:rPr>
            <m:t>F=a</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2</m:t>
              </m:r>
            </m:sup>
          </m:sSup>
          <m:r>
            <w:rPr>
              <w:rFonts w:ascii="Cambria Math" w:eastAsiaTheme="minorEastAsia" w:hAnsi="Cambria Math"/>
              <w:lang w:val="da-DK"/>
            </w:rPr>
            <w:br/>
          </m:r>
        </m:oMath>
        <m:oMath>
          <m:rad>
            <m:radPr>
              <m:degHide m:val="1"/>
              <m:ctrlPr>
                <w:rPr>
                  <w:rFonts w:ascii="Cambria Math" w:eastAsiaTheme="minorEastAsia" w:hAnsi="Cambria Math"/>
                  <w:i/>
                  <w:lang w:val="da-DK"/>
                </w:rPr>
              </m:ctrlPr>
            </m:radPr>
            <m:deg/>
            <m:e>
              <m:f>
                <m:fPr>
                  <m:ctrlPr>
                    <w:rPr>
                      <w:rFonts w:ascii="Cambria Math" w:eastAsiaTheme="minorEastAsia" w:hAnsi="Cambria Math"/>
                      <w:i/>
                      <w:lang w:val="da-DK"/>
                    </w:rPr>
                  </m:ctrlPr>
                </m:fPr>
                <m:num>
                  <m:r>
                    <w:rPr>
                      <w:rFonts w:ascii="Cambria Math" w:eastAsiaTheme="minorEastAsia" w:hAnsi="Cambria Math"/>
                      <w:lang w:val="da-DK"/>
                    </w:rPr>
                    <m:t>F</m:t>
                  </m:r>
                </m:num>
                <m:den>
                  <m:r>
                    <w:rPr>
                      <w:rFonts w:ascii="Cambria Math" w:eastAsiaTheme="minorEastAsia" w:hAnsi="Cambria Math"/>
                      <w:lang w:val="da-DK"/>
                    </w:rPr>
                    <m:t>a</m:t>
                  </m:r>
                </m:den>
              </m:f>
            </m:e>
          </m:rad>
          <m:r>
            <w:rPr>
              <w:rFonts w:ascii="Cambria Math" w:eastAsiaTheme="minorEastAsia" w:hAnsi="Cambria Math"/>
              <w:lang w:val="da-DK"/>
            </w:rPr>
            <m:t>=Q</m:t>
          </m:r>
        </m:oMath>
      </m:oMathPara>
    </w:p>
    <w:p w14:paraId="4F28B63A" w14:textId="51E58F18" w:rsidR="006720A0" w:rsidRDefault="006720A0" w:rsidP="00FE0EC0">
      <w:pPr>
        <w:jc w:val="both"/>
        <w:rPr>
          <w:rFonts w:eastAsiaTheme="minorEastAsia"/>
          <w:lang w:val="da-DK"/>
        </w:rPr>
      </w:pPr>
      <w:r>
        <w:rPr>
          <w:rFonts w:eastAsiaTheme="minorEastAsia"/>
          <w:lang w:val="da-DK"/>
        </w:rPr>
        <w:t xml:space="preserve">Der er en negativ sammenhæng mellem </w:t>
      </w:r>
      <m:oMath>
        <m:r>
          <w:rPr>
            <w:rFonts w:ascii="Cambria Math" w:eastAsiaTheme="minorEastAsia" w:hAnsi="Cambria Math"/>
            <w:lang w:val="da-DK"/>
          </w:rPr>
          <m:t>a</m:t>
        </m:r>
      </m:oMath>
      <w:r>
        <w:rPr>
          <w:rFonts w:eastAsiaTheme="minorEastAsia"/>
          <w:lang w:val="da-DK"/>
        </w:rPr>
        <w:t xml:space="preserve"> og Q. En stor værdi af </w:t>
      </w:r>
      <m:oMath>
        <m:r>
          <w:rPr>
            <w:rFonts w:ascii="Cambria Math" w:eastAsiaTheme="minorEastAsia" w:hAnsi="Cambria Math"/>
            <w:lang w:val="da-DK"/>
          </w:rPr>
          <m:t>a</m:t>
        </m:r>
      </m:oMath>
      <w:r>
        <w:rPr>
          <w:rFonts w:eastAsiaTheme="minorEastAsia"/>
          <w:lang w:val="da-DK"/>
        </w:rPr>
        <w:t xml:space="preserve">, giver en lav værdi af Q, hvor en lille værdi af </w:t>
      </w:r>
      <m:oMath>
        <m:r>
          <w:rPr>
            <w:rFonts w:ascii="Cambria Math" w:eastAsiaTheme="minorEastAsia" w:hAnsi="Cambria Math"/>
            <w:lang w:val="da-DK"/>
          </w:rPr>
          <m:t>a</m:t>
        </m:r>
      </m:oMath>
      <w:r>
        <w:rPr>
          <w:rFonts w:eastAsiaTheme="minorEastAsia"/>
          <w:lang w:val="da-DK"/>
        </w:rPr>
        <w:t xml:space="preserve">, giver en stor værdi af Q. </w:t>
      </w:r>
    </w:p>
    <w:p w14:paraId="6EAF766A" w14:textId="5C5EB385" w:rsidR="006720A0" w:rsidRDefault="006720A0" w:rsidP="00FE0EC0">
      <w:pPr>
        <w:jc w:val="both"/>
        <w:rPr>
          <w:rFonts w:eastAsiaTheme="minorEastAsia"/>
          <w:lang w:val="da-DK"/>
        </w:rPr>
      </w:pPr>
    </w:p>
    <w:p w14:paraId="3819EEA0" w14:textId="68A0DD55" w:rsidR="006720A0" w:rsidRDefault="006720A0" w:rsidP="00FE0EC0">
      <w:pPr>
        <w:jc w:val="both"/>
        <w:rPr>
          <w:rFonts w:eastAsiaTheme="minorEastAsia"/>
          <w:lang w:val="da-DK"/>
        </w:rPr>
      </w:pPr>
      <w:r>
        <w:rPr>
          <w:rFonts w:eastAsiaTheme="minorEastAsia"/>
          <w:b/>
          <w:bCs/>
          <w:lang w:val="da-DK"/>
        </w:rPr>
        <w:t>4.2</w:t>
      </w:r>
    </w:p>
    <w:p w14:paraId="68369C03" w14:textId="721CDFD3" w:rsidR="007C17A5" w:rsidRDefault="006720A0" w:rsidP="00FE0EC0">
      <w:pPr>
        <w:jc w:val="both"/>
        <w:rPr>
          <w:rFonts w:eastAsiaTheme="minorEastAsia"/>
          <w:lang w:val="da-DK"/>
        </w:rPr>
      </w:pPr>
      <w:r>
        <w:rPr>
          <w:rFonts w:eastAsiaTheme="minorEastAsia"/>
          <w:lang w:val="da-DK"/>
        </w:rPr>
        <w:t>Fortegnet ved AC</w:t>
      </w:r>
      <w:r w:rsidR="00224CEB">
        <w:rPr>
          <w:rFonts w:eastAsiaTheme="minorEastAsia"/>
          <w:lang w:val="da-DK"/>
        </w:rPr>
        <w:t>-kurven over den minimale efficiente skala er positiv. Derfor bliver det dyrere at producere over den minimale efficiente skala. Derfor vil en produktion over den minimale efficiente skala give stordriftsulemper. Dette hænger sammen med at hun først opgiver de jordarealer, der i forvejen er mindst produktiv, men når disse allerede er inddraget til solpaneler, bliver hun nødt til at tage af de mest produktive jordarealer, hvilket vil hæve hendes omkostninger</w:t>
      </w:r>
      <w:r w:rsidR="007C17A5">
        <w:rPr>
          <w:rFonts w:eastAsiaTheme="minorEastAsia"/>
          <w:lang w:val="da-DK"/>
        </w:rPr>
        <w:t xml:space="preserve"> ved at inddrage jorden. </w:t>
      </w:r>
    </w:p>
    <w:p w14:paraId="58C3A693" w14:textId="64DA383B" w:rsidR="007C17A5" w:rsidRDefault="007C17A5" w:rsidP="00FE0EC0">
      <w:pPr>
        <w:jc w:val="both"/>
        <w:rPr>
          <w:rFonts w:eastAsiaTheme="minorEastAsia"/>
          <w:lang w:val="da-DK"/>
        </w:rPr>
      </w:pPr>
    </w:p>
    <w:p w14:paraId="22AC1FAE" w14:textId="28BCD2A8" w:rsidR="007C17A5" w:rsidRDefault="007C17A5" w:rsidP="00FE0EC0">
      <w:pPr>
        <w:jc w:val="both"/>
        <w:rPr>
          <w:rFonts w:eastAsiaTheme="minorEastAsia"/>
          <w:lang w:val="da-DK"/>
        </w:rPr>
      </w:pPr>
      <w:r>
        <w:rPr>
          <w:rFonts w:eastAsiaTheme="minorEastAsia"/>
          <w:lang w:val="da-DK"/>
        </w:rPr>
        <w:t xml:space="preserve">Betydningen af </w:t>
      </w:r>
      <m:oMath>
        <m:r>
          <w:rPr>
            <w:rFonts w:ascii="Cambria Math" w:eastAsiaTheme="minorEastAsia" w:hAnsi="Cambria Math"/>
            <w:lang w:val="da-DK"/>
          </w:rPr>
          <m:t>a</m:t>
        </m:r>
      </m:oMath>
      <w:r>
        <w:rPr>
          <w:rFonts w:eastAsiaTheme="minorEastAsia"/>
          <w:lang w:val="da-DK"/>
        </w:rPr>
        <w:t xml:space="preserve"> beskriver hvor effektiv jorden er. Jo mere produktiv jord, der inddrives, jo større bliver </w:t>
      </w:r>
      <m:oMath>
        <m:r>
          <w:rPr>
            <w:rFonts w:ascii="Cambria Math" w:eastAsiaTheme="minorEastAsia" w:hAnsi="Cambria Math"/>
            <w:lang w:val="da-DK"/>
          </w:rPr>
          <m:t>a</m:t>
        </m:r>
      </m:oMath>
      <w:r>
        <w:rPr>
          <w:rFonts w:eastAsiaTheme="minorEastAsia"/>
          <w:lang w:val="da-DK"/>
        </w:rPr>
        <w:t xml:space="preserve">. Der kommer altså et punkt, hvor </w:t>
      </w:r>
      <m:oMath>
        <m:r>
          <w:rPr>
            <w:rFonts w:ascii="Cambria Math" w:eastAsiaTheme="minorEastAsia" w:hAnsi="Cambria Math"/>
            <w:lang w:val="da-DK"/>
          </w:rPr>
          <m:t>a</m:t>
        </m:r>
      </m:oMath>
      <w:r>
        <w:rPr>
          <w:rFonts w:eastAsiaTheme="minorEastAsia"/>
          <w:lang w:val="da-DK"/>
        </w:rPr>
        <w:t xml:space="preserve"> bliver for stor, og de produktive jordarealer er bedre til planteavl end solceller. </w:t>
      </w:r>
    </w:p>
    <w:p w14:paraId="6EEA48C7" w14:textId="2CF6DAA7" w:rsidR="007C17A5" w:rsidRDefault="007C17A5" w:rsidP="00FE0EC0">
      <w:pPr>
        <w:jc w:val="both"/>
        <w:rPr>
          <w:rFonts w:eastAsiaTheme="minorEastAsia"/>
          <w:lang w:val="da-DK"/>
        </w:rPr>
      </w:pPr>
    </w:p>
    <w:p w14:paraId="152F02ED" w14:textId="3AC5BC15" w:rsidR="007C17A5" w:rsidRDefault="007C17A5" w:rsidP="00FE0EC0">
      <w:pPr>
        <w:jc w:val="both"/>
        <w:rPr>
          <w:rFonts w:eastAsiaTheme="minorEastAsia"/>
          <w:lang w:val="da-DK"/>
        </w:rPr>
      </w:pPr>
      <w:r>
        <w:rPr>
          <w:rFonts w:eastAsiaTheme="minorEastAsia"/>
          <w:b/>
          <w:bCs/>
          <w:lang w:val="da-DK"/>
        </w:rPr>
        <w:t>4.3</w:t>
      </w:r>
    </w:p>
    <w:p w14:paraId="4ECD32D1" w14:textId="0C0AA297" w:rsidR="007C17A5" w:rsidRDefault="00FA52DD" w:rsidP="00FE0EC0">
      <w:pPr>
        <w:jc w:val="both"/>
        <w:rPr>
          <w:rFonts w:eastAsiaTheme="minorEastAsia"/>
          <w:lang w:val="da-DK"/>
        </w:rPr>
      </w:pPr>
      <w:r>
        <w:rPr>
          <w:rFonts w:eastAsiaTheme="minorEastAsia"/>
          <w:lang w:val="da-DK"/>
        </w:rPr>
        <w:t xml:space="preserve">Den profitmaksimerende mængde strøm findes ved at sætte P=MR  da vi er på et marked kendetegnet ved FKK, hvor der ikke er </w:t>
      </w:r>
      <w:proofErr w:type="spellStart"/>
      <w:r>
        <w:rPr>
          <w:rFonts w:eastAsiaTheme="minorEastAsia"/>
          <w:lang w:val="da-DK"/>
        </w:rPr>
        <w:t>abnormal</w:t>
      </w:r>
      <w:proofErr w:type="spellEnd"/>
      <w:r>
        <w:rPr>
          <w:rFonts w:eastAsiaTheme="minorEastAsia"/>
          <w:lang w:val="da-DK"/>
        </w:rPr>
        <w:t xml:space="preserve"> profit. </w:t>
      </w:r>
    </w:p>
    <w:p w14:paraId="39A860EA" w14:textId="4D6B02F0" w:rsidR="00FA52DD" w:rsidRDefault="00FA52DD" w:rsidP="00FE0EC0">
      <w:pPr>
        <w:jc w:val="both"/>
        <w:rPr>
          <w:rFonts w:eastAsiaTheme="minorEastAsia"/>
          <w:lang w:val="da-DK"/>
        </w:rPr>
      </w:pPr>
      <w:r>
        <w:rPr>
          <w:rFonts w:eastAsiaTheme="minorEastAsia"/>
          <w:lang w:val="da-DK"/>
        </w:rPr>
        <w:t xml:space="preserve">Derfor bestemmes den inverse efterspørgselsfunktion først til </w:t>
      </w:r>
    </w:p>
    <w:p w14:paraId="2B137BD6" w14:textId="2C9CFA14" w:rsidR="00FA52DD" w:rsidRDefault="00FA52DD" w:rsidP="00FE0EC0">
      <w:pPr>
        <w:jc w:val="both"/>
        <w:rPr>
          <w:rFonts w:eastAsiaTheme="minorEastAsia"/>
          <w:lang w:val="da-DK"/>
        </w:rPr>
      </w:pPr>
      <m:oMathPara>
        <m:oMath>
          <m:r>
            <w:rPr>
              <w:rFonts w:ascii="Cambria Math" w:eastAsiaTheme="minorEastAsia" w:hAnsi="Cambria Math"/>
              <w:lang w:val="da-DK"/>
            </w:rPr>
            <m:t>P</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=Y-</m:t>
          </m:r>
          <m:r>
            <w:rPr>
              <w:rFonts w:ascii="Cambria Math" w:eastAsiaTheme="minorEastAsia" w:hAnsi="Cambria Math"/>
              <w:lang w:val="da-DK"/>
            </w:rPr>
            <m:t>Q</m:t>
          </m:r>
          <m:r>
            <w:rPr>
              <w:rFonts w:ascii="Cambria Math" w:eastAsiaTheme="minorEastAsia" w:hAnsi="Cambria Math"/>
              <w:lang w:val="da-DK"/>
            </w:rPr>
            <w:br/>
          </m:r>
        </m:oMath>
      </m:oMathPara>
      <w:r>
        <w:rPr>
          <w:rFonts w:eastAsiaTheme="minorEastAsia"/>
          <w:lang w:val="da-DK"/>
        </w:rPr>
        <w:t xml:space="preserve">Herefter findes den totale omsætning. </w:t>
      </w:r>
    </w:p>
    <w:p w14:paraId="77CA0ED5" w14:textId="77777777" w:rsidR="002F0FDE" w:rsidRPr="002F0FDE" w:rsidRDefault="00FA52DD" w:rsidP="00FE0EC0">
      <w:pPr>
        <w:jc w:val="both"/>
        <w:rPr>
          <w:rFonts w:eastAsiaTheme="minorEastAsia"/>
          <w:lang w:val="da-DK"/>
        </w:rPr>
      </w:pPr>
      <m:oMathPara>
        <m:oMath>
          <m:r>
            <w:rPr>
              <w:rFonts w:ascii="Cambria Math" w:eastAsiaTheme="minorEastAsia" w:hAnsi="Cambria Math"/>
              <w:lang w:val="da-DK"/>
            </w:rPr>
            <m:t>TR</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=Q·P</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w:br/>
          </m:r>
        </m:oMath>
        <m:oMath>
          <m:r>
            <w:rPr>
              <w:rFonts w:ascii="Cambria Math" w:eastAsiaTheme="minorEastAsia" w:hAnsi="Cambria Math"/>
              <w:lang w:val="da-DK"/>
            </w:rPr>
            <m:t>TR</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=YQ-</m:t>
          </m:r>
          <m:sSup>
            <m:sSupPr>
              <m:ctrlPr>
                <w:rPr>
                  <w:rFonts w:ascii="Cambria Math" w:eastAsiaTheme="minorEastAsia" w:hAnsi="Cambria Math"/>
                  <w:i/>
                  <w:lang w:val="da-DK"/>
                </w:rPr>
              </m:ctrlPr>
            </m:sSupPr>
            <m:e>
              <m:r>
                <w:rPr>
                  <w:rFonts w:ascii="Cambria Math" w:eastAsiaTheme="minorEastAsia" w:hAnsi="Cambria Math"/>
                  <w:lang w:val="da-DK"/>
                </w:rPr>
                <m:t>Q</m:t>
              </m:r>
            </m:e>
            <m:sup>
              <m:r>
                <w:rPr>
                  <w:rFonts w:ascii="Cambria Math" w:eastAsiaTheme="minorEastAsia" w:hAnsi="Cambria Math"/>
                  <w:lang w:val="da-DK"/>
                </w:rPr>
                <m:t>2</m:t>
              </m:r>
            </m:sup>
          </m:sSup>
          <m:r>
            <w:rPr>
              <w:rFonts w:ascii="Cambria Math" w:eastAsiaTheme="minorEastAsia" w:hAnsi="Cambria Math"/>
              <w:lang w:val="da-DK"/>
            </w:rPr>
            <w:br/>
          </m:r>
        </m:oMath>
        <m:oMath>
          <m:r>
            <w:rPr>
              <w:rFonts w:ascii="Cambria Math" w:eastAsiaTheme="minorEastAsia" w:hAnsi="Cambria Math"/>
              <w:lang w:val="da-DK"/>
            </w:rPr>
            <m:t>MR</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m:t>
          </m:r>
          <m:r>
            <w:rPr>
              <w:rFonts w:ascii="Cambria Math" w:eastAsiaTheme="minorEastAsia" w:hAnsi="Cambria Math"/>
              <w:lang w:val="da-DK"/>
            </w:rPr>
            <m:t>Y</m:t>
          </m:r>
          <m:r>
            <w:rPr>
              <w:rFonts w:ascii="Cambria Math" w:eastAsiaTheme="minorEastAsia" w:hAnsi="Cambria Math"/>
              <w:lang w:val="da-DK"/>
            </w:rPr>
            <m:t>-2Q</m:t>
          </m:r>
        </m:oMath>
      </m:oMathPara>
    </w:p>
    <w:p w14:paraId="18F7B7C5" w14:textId="77777777" w:rsidR="002F0FDE" w:rsidRDefault="002F0FDE" w:rsidP="00FE0EC0">
      <w:pPr>
        <w:jc w:val="both"/>
        <w:rPr>
          <w:rFonts w:eastAsiaTheme="minorEastAsia"/>
          <w:lang w:val="da-DK"/>
        </w:rPr>
      </w:pPr>
    </w:p>
    <w:p w14:paraId="457A4464" w14:textId="759B1D01" w:rsidR="002F0FDE" w:rsidRDefault="002F0FDE" w:rsidP="00FE0EC0">
      <w:pPr>
        <w:jc w:val="both"/>
        <w:rPr>
          <w:rFonts w:eastAsiaTheme="minorEastAsia"/>
          <w:lang w:val="da-DK"/>
        </w:rPr>
      </w:pPr>
    </w:p>
    <w:p w14:paraId="5AB49830" w14:textId="5D3F47C5" w:rsidR="002F0FDE" w:rsidRDefault="002F0FDE" w:rsidP="00FE0EC0">
      <w:pPr>
        <w:jc w:val="both"/>
        <w:rPr>
          <w:rFonts w:eastAsiaTheme="minorEastAsia"/>
          <w:lang w:val="da-DK"/>
        </w:rPr>
      </w:pPr>
    </w:p>
    <w:p w14:paraId="5FB144B4" w14:textId="2EA59C10" w:rsidR="002F0FDE" w:rsidRDefault="002F0FDE" w:rsidP="00FE0EC0">
      <w:pPr>
        <w:jc w:val="both"/>
        <w:rPr>
          <w:rFonts w:eastAsiaTheme="minorEastAsia"/>
          <w:lang w:val="da-DK"/>
        </w:rPr>
      </w:pPr>
    </w:p>
    <w:p w14:paraId="2260D028" w14:textId="771E46CD" w:rsidR="002F0FDE" w:rsidRDefault="002F0FDE" w:rsidP="00FE0EC0">
      <w:pPr>
        <w:jc w:val="both"/>
        <w:rPr>
          <w:rFonts w:eastAsiaTheme="minorEastAsia"/>
          <w:lang w:val="da-DK"/>
        </w:rPr>
      </w:pPr>
    </w:p>
    <w:p w14:paraId="5F8F101F" w14:textId="0E6A539A" w:rsidR="002F0FDE" w:rsidRDefault="002F0FDE" w:rsidP="00FE0EC0">
      <w:pPr>
        <w:jc w:val="both"/>
        <w:rPr>
          <w:rFonts w:eastAsiaTheme="minorEastAsia"/>
          <w:lang w:val="da-DK"/>
        </w:rPr>
      </w:pPr>
    </w:p>
    <w:p w14:paraId="2015E25C" w14:textId="77777777" w:rsidR="002F0FDE" w:rsidRDefault="002F0FDE" w:rsidP="00FE0EC0">
      <w:pPr>
        <w:jc w:val="both"/>
        <w:rPr>
          <w:rFonts w:eastAsiaTheme="minorEastAsia"/>
          <w:lang w:val="da-DK"/>
        </w:rPr>
      </w:pPr>
    </w:p>
    <w:p w14:paraId="2CF82B99" w14:textId="26E3E526" w:rsidR="002F0FDE" w:rsidRPr="002F0FDE" w:rsidRDefault="002F0FDE" w:rsidP="002F0FDE">
      <w:pPr>
        <w:rPr>
          <w:rFonts w:eastAsiaTheme="minorEastAsia"/>
          <w:lang w:val="da-DK"/>
        </w:rPr>
      </w:pPr>
      <w:r>
        <w:rPr>
          <w:rFonts w:eastAsiaTheme="minorEastAsia"/>
          <w:lang w:val="da-DK"/>
        </w:rPr>
        <w:lastRenderedPageBreak/>
        <w:t xml:space="preserve">Den profitmaksimerende mængde findes ved at sætte MR=MC og isolerer Q. </w:t>
      </w:r>
      <m:oMath>
        <m:r>
          <w:rPr>
            <w:rFonts w:ascii="Cambria Math" w:eastAsiaTheme="minorEastAsia" w:hAnsi="Cambria Math"/>
            <w:lang w:val="da-DK"/>
          </w:rPr>
          <w:br/>
        </m:r>
      </m:oMath>
      <m:oMathPara>
        <m:oMathParaPr>
          <m:jc m:val="left"/>
        </m:oMathParaPr>
        <m:oMath>
          <m:r>
            <w:rPr>
              <w:rFonts w:ascii="Cambria Math" w:eastAsiaTheme="minorEastAsia" w:hAnsi="Cambria Math"/>
              <w:lang w:val="da-DK"/>
            </w:rPr>
            <m:t>MC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=MR</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w:br/>
          </m:r>
        </m:oMath>
        <m:oMath>
          <m:r>
            <w:rPr>
              <w:rFonts w:ascii="Cambria Math" w:eastAsiaTheme="minorEastAsia" w:hAnsi="Cambria Math"/>
              <w:lang w:val="da-DK"/>
            </w:rPr>
            <m:t>e+2aQ</m:t>
          </m:r>
          <m:r>
            <w:rPr>
              <w:rFonts w:ascii="Cambria Math" w:eastAsiaTheme="minorEastAsia" w:hAnsi="Cambria Math"/>
              <w:lang w:val="da-DK"/>
            </w:rPr>
            <m:t>=</m:t>
          </m:r>
          <m:r>
            <w:rPr>
              <w:rFonts w:ascii="Cambria Math" w:eastAsiaTheme="minorEastAsia" w:hAnsi="Cambria Math"/>
              <w:lang w:val="da-DK"/>
            </w:rPr>
            <m:t>Y</m:t>
          </m:r>
          <m:r>
            <w:rPr>
              <w:rFonts w:ascii="Cambria Math" w:eastAsiaTheme="minorEastAsia" w:hAnsi="Cambria Math"/>
              <w:lang w:val="da-DK"/>
            </w:rPr>
            <m:t>-2Q</m:t>
          </m:r>
          <m:r>
            <w:rPr>
              <w:rFonts w:ascii="Cambria Math" w:eastAsiaTheme="minorEastAsia" w:hAnsi="Cambria Math"/>
              <w:lang w:val="da-DK"/>
            </w:rPr>
            <w:br/>
          </m:r>
        </m:oMath>
        <m:oMath>
          <m:r>
            <w:rPr>
              <w:rFonts w:ascii="Cambria Math" w:eastAsiaTheme="minorEastAsia" w:hAnsi="Cambria Math"/>
              <w:lang w:val="da-DK"/>
            </w:rPr>
            <m:t>e+2aQ</m:t>
          </m:r>
          <m:r>
            <w:rPr>
              <w:rFonts w:ascii="Cambria Math" w:eastAsiaTheme="minorEastAsia" w:hAnsi="Cambria Math"/>
              <w:lang w:val="da-DK"/>
            </w:rPr>
            <m:t>+</m:t>
          </m:r>
          <m:r>
            <w:rPr>
              <w:rFonts w:ascii="Cambria Math" w:eastAsiaTheme="minorEastAsia" w:hAnsi="Cambria Math"/>
              <w:lang w:val="da-DK"/>
            </w:rPr>
            <m:t>2Q=</m:t>
          </m:r>
          <m:r>
            <w:rPr>
              <w:rFonts w:ascii="Cambria Math" w:eastAsiaTheme="minorEastAsia" w:hAnsi="Cambria Math"/>
              <w:lang w:val="da-DK"/>
            </w:rPr>
            <m:t>Y</m:t>
          </m:r>
          <m:r>
            <w:rPr>
              <w:rFonts w:ascii="Cambria Math" w:eastAsiaTheme="minorEastAsia" w:hAnsi="Cambria Math"/>
              <w:lang w:val="da-DK"/>
            </w:rPr>
            <w:br/>
          </m:r>
        </m:oMath>
        <m:oMath>
          <m:r>
            <w:rPr>
              <w:rFonts w:ascii="Cambria Math" w:eastAsiaTheme="minorEastAsia" w:hAnsi="Cambria Math"/>
              <w:lang w:val="da-DK"/>
            </w:rPr>
            <m:t>2aQ+2Q=Y-</m:t>
          </m:r>
          <m:r>
            <w:rPr>
              <w:rFonts w:ascii="Cambria Math" w:eastAsiaTheme="minorEastAsia" w:hAnsi="Cambria Math"/>
              <w:lang w:val="da-DK"/>
            </w:rPr>
            <m:t>e</m:t>
          </m:r>
          <m:r>
            <w:rPr>
              <w:rFonts w:ascii="Cambria Math" w:eastAsiaTheme="minorEastAsia" w:hAnsi="Cambria Math"/>
              <w:lang w:val="da-DK"/>
            </w:rPr>
            <w:br/>
          </m:r>
        </m:oMath>
        <m:oMath>
          <m:r>
            <w:rPr>
              <w:rFonts w:ascii="Cambria Math" w:eastAsiaTheme="minorEastAsia" w:hAnsi="Cambria Math"/>
              <w:lang w:val="da-DK"/>
            </w:rPr>
            <m:t>Q</m:t>
          </m:r>
          <m:d>
            <m:dPr>
              <m:ctrlPr>
                <w:rPr>
                  <w:rFonts w:ascii="Cambria Math" w:eastAsiaTheme="minorEastAsia" w:hAnsi="Cambria Math"/>
                  <w:i/>
                  <w:lang w:val="da-DK"/>
                </w:rPr>
              </m:ctrlPr>
            </m:dPr>
            <m:e>
              <m:r>
                <w:rPr>
                  <w:rFonts w:ascii="Cambria Math" w:eastAsiaTheme="minorEastAsia" w:hAnsi="Cambria Math"/>
                  <w:lang w:val="da-DK"/>
                </w:rPr>
                <m:t>2a+2</m:t>
              </m:r>
            </m:e>
          </m:d>
          <m:r>
            <w:rPr>
              <w:rFonts w:ascii="Cambria Math" w:eastAsiaTheme="minorEastAsia" w:hAnsi="Cambria Math"/>
              <w:lang w:val="da-DK"/>
            </w:rPr>
            <m:t>=Y-</m:t>
          </m:r>
          <m:r>
            <w:rPr>
              <w:rFonts w:ascii="Cambria Math" w:eastAsiaTheme="minorEastAsia" w:hAnsi="Cambria Math"/>
              <w:lang w:val="da-DK"/>
            </w:rPr>
            <m:t>e</m:t>
          </m:r>
          <m:r>
            <w:rPr>
              <w:rFonts w:ascii="Cambria Math" w:eastAsiaTheme="minorEastAsia" w:hAnsi="Cambria Math"/>
              <w:lang w:val="da-DK"/>
            </w:rPr>
            <w:br/>
          </m:r>
        </m:oMath>
        <m:oMath>
          <m:r>
            <w:rPr>
              <w:rFonts w:ascii="Cambria Math" w:eastAsiaTheme="minorEastAsia" w:hAnsi="Cambria Math"/>
              <w:lang w:val="da-DK"/>
            </w:rPr>
            <m:t>Q=</m:t>
          </m:r>
          <m:f>
            <m:fPr>
              <m:ctrlPr>
                <w:rPr>
                  <w:rFonts w:ascii="Cambria Math" w:eastAsiaTheme="minorEastAsia" w:hAnsi="Cambria Math"/>
                  <w:i/>
                  <w:lang w:val="da-DK"/>
                </w:rPr>
              </m:ctrlPr>
            </m:fPr>
            <m:num>
              <m:r>
                <w:rPr>
                  <w:rFonts w:ascii="Cambria Math" w:eastAsiaTheme="minorEastAsia" w:hAnsi="Cambria Math"/>
                  <w:lang w:val="da-DK"/>
                </w:rPr>
                <m:t>Y-</m:t>
              </m:r>
              <m:r>
                <w:rPr>
                  <w:rFonts w:ascii="Cambria Math" w:eastAsiaTheme="minorEastAsia" w:hAnsi="Cambria Math"/>
                  <w:lang w:val="da-DK"/>
                </w:rPr>
                <m:t>e</m:t>
              </m:r>
            </m:num>
            <m:den>
              <m:r>
                <w:rPr>
                  <w:rFonts w:ascii="Cambria Math" w:eastAsiaTheme="minorEastAsia" w:hAnsi="Cambria Math"/>
                  <w:lang w:val="da-DK"/>
                </w:rPr>
                <m:t>2a+2</m:t>
              </m:r>
            </m:den>
          </m:f>
        </m:oMath>
      </m:oMathPara>
    </w:p>
    <w:p w14:paraId="1D820D78" w14:textId="77777777" w:rsidR="002F0FDE" w:rsidRDefault="002F0FDE" w:rsidP="00FE0EC0">
      <w:pPr>
        <w:jc w:val="both"/>
        <w:rPr>
          <w:rFonts w:eastAsiaTheme="minorEastAsia"/>
          <w:lang w:val="da-DK"/>
        </w:rPr>
      </w:pPr>
    </w:p>
    <w:p w14:paraId="221952F1" w14:textId="77777777" w:rsidR="002F0FDE" w:rsidRDefault="002F0FDE" w:rsidP="002F0FDE">
      <w:pPr>
        <w:rPr>
          <w:rFonts w:eastAsiaTheme="minorEastAsia"/>
          <w:lang w:val="da-DK"/>
        </w:rPr>
      </w:pPr>
      <w:r>
        <w:rPr>
          <w:rFonts w:eastAsiaTheme="minorEastAsia"/>
          <w:lang w:val="da-DK"/>
        </w:rPr>
        <w:t xml:space="preserve">Dette indsættes nu i funktionen </w:t>
      </w:r>
      <m:oMath>
        <m:r>
          <w:rPr>
            <w:rFonts w:ascii="Cambria Math" w:eastAsiaTheme="minorEastAsia" w:hAnsi="Cambria Math"/>
            <w:lang w:val="da-DK"/>
          </w:rPr>
          <m:t>π=TR</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-TC</m:t>
        </m:r>
        <m:d>
          <m:dPr>
            <m:ctrlPr>
              <w:rPr>
                <w:rFonts w:ascii="Cambria Math" w:eastAsiaTheme="minorEastAsia" w:hAnsi="Cambria Math"/>
                <w:i/>
                <w:lang w:val="da-DK"/>
              </w:rPr>
            </m:ctrlPr>
          </m:dPr>
          <m:e>
            <m:r>
              <w:rPr>
                <w:rFonts w:ascii="Cambria Math" w:eastAsiaTheme="minorEastAsia" w:hAnsi="Cambria Math"/>
                <w:lang w:val="da-DK"/>
              </w:rPr>
              <m:t>Q</m:t>
            </m:r>
          </m:e>
        </m:d>
        <m:r>
          <w:rPr>
            <w:rFonts w:ascii="Cambria Math" w:eastAsiaTheme="minorEastAsia" w:hAnsi="Cambria Math"/>
            <w:lang w:val="da-DK"/>
          </w:rPr>
          <m:t>=0</m:t>
        </m:r>
      </m:oMath>
    </w:p>
    <w:p w14:paraId="5502F899" w14:textId="7049F004" w:rsidR="00E07D85" w:rsidRDefault="002F0FDE" w:rsidP="002F0FDE">
      <w:pPr>
        <w:rPr>
          <w:rFonts w:eastAsiaTheme="minorEastAsia"/>
          <w:lang w:val="da-DK"/>
        </w:rPr>
      </w:pPr>
      <w:r>
        <w:rPr>
          <w:rFonts w:eastAsiaTheme="minorEastAsia"/>
          <w:lang w:val="da-DK"/>
        </w:rPr>
        <w:t>Profitten er lig nul pga</w:t>
      </w:r>
      <w:r w:rsidR="00CE6524">
        <w:rPr>
          <w:rFonts w:eastAsiaTheme="minorEastAsia"/>
          <w:lang w:val="da-DK"/>
        </w:rPr>
        <w:t>.</w:t>
      </w:r>
      <w:r>
        <w:rPr>
          <w:rFonts w:eastAsiaTheme="minorEastAsia"/>
          <w:lang w:val="da-DK"/>
        </w:rPr>
        <w:t xml:space="preserve"> ved FKK vil der være </w:t>
      </w:r>
      <w:proofErr w:type="spellStart"/>
      <w:r>
        <w:rPr>
          <w:rFonts w:eastAsiaTheme="minorEastAsia"/>
          <w:lang w:val="da-DK"/>
        </w:rPr>
        <w:t>entry</w:t>
      </w:r>
      <w:proofErr w:type="spellEnd"/>
      <w:r w:rsidR="006249C4">
        <w:rPr>
          <w:rFonts w:eastAsiaTheme="minorEastAsia"/>
          <w:lang w:val="da-DK"/>
        </w:rPr>
        <w:t xml:space="preserve"> fra andre virksomheder</w:t>
      </w:r>
      <w:r>
        <w:rPr>
          <w:rFonts w:eastAsiaTheme="minorEastAsia"/>
          <w:lang w:val="da-DK"/>
        </w:rPr>
        <w:t xml:space="preserve">, når der er </w:t>
      </w:r>
      <w:proofErr w:type="spellStart"/>
      <w:r>
        <w:rPr>
          <w:rFonts w:eastAsiaTheme="minorEastAsia"/>
          <w:lang w:val="da-DK"/>
        </w:rPr>
        <w:t>abnormal</w:t>
      </w:r>
      <w:proofErr w:type="spellEnd"/>
      <w:r>
        <w:rPr>
          <w:rFonts w:eastAsiaTheme="minorEastAsia"/>
          <w:lang w:val="da-DK"/>
        </w:rPr>
        <w:t xml:space="preserve"> profit</w:t>
      </w:r>
      <w:r w:rsidR="006249C4">
        <w:rPr>
          <w:rFonts w:eastAsiaTheme="minorEastAsia"/>
          <w:lang w:val="da-DK"/>
        </w:rPr>
        <w:t xml:space="preserve">. </w:t>
      </w:r>
      <w:r w:rsidR="00E07D85">
        <w:rPr>
          <w:rFonts w:eastAsiaTheme="minorEastAsia"/>
          <w:lang w:val="da-DK"/>
        </w:rPr>
        <w:t xml:space="preserve">Q indsættes </w:t>
      </w:r>
    </w:p>
    <w:p w14:paraId="0EB23A4A" w14:textId="20829CB5" w:rsidR="0032188B" w:rsidRPr="00494C42" w:rsidRDefault="00E07D85" w:rsidP="001A4814">
      <w:pPr>
        <w:rPr>
          <w:rFonts w:eastAsiaTheme="minorEastAsia"/>
          <w:lang w:val="da-DK"/>
        </w:rPr>
      </w:pPr>
      <m:oMathPara>
        <m:oMath>
          <m:r>
            <w:rPr>
              <w:rFonts w:ascii="Cambria Math" w:eastAsiaTheme="minorEastAsia" w:hAnsi="Cambria Math"/>
              <w:lang w:val="da-DK"/>
            </w:rPr>
            <m:t>π=</m:t>
          </m:r>
          <m:d>
            <m:dPr>
              <m:ctrlPr>
                <w:rPr>
                  <w:rFonts w:ascii="Cambria Math" w:eastAsiaTheme="minorEastAsia" w:hAnsi="Cambria Math"/>
                  <w:i/>
                  <w:lang w:val="da-DK"/>
                </w:rPr>
              </m:ctrlPr>
            </m:dPr>
            <m:e>
              <m:r>
                <w:rPr>
                  <w:rFonts w:ascii="Cambria Math" w:eastAsiaTheme="minorEastAsia" w:hAnsi="Cambria Math"/>
                  <w:lang w:val="da-DK"/>
                </w:rPr>
                <m:t>Y</m:t>
              </m:r>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Y-</m:t>
                  </m:r>
                  <m:r>
                    <w:rPr>
                      <w:rFonts w:ascii="Cambria Math" w:eastAsiaTheme="minorEastAsia" w:hAnsi="Cambria Math"/>
                      <w:lang w:val="da-DK"/>
                    </w:rPr>
                    <m:t>e</m:t>
                  </m:r>
                </m:num>
                <m:den>
                  <m:r>
                    <w:rPr>
                      <w:rFonts w:ascii="Cambria Math" w:eastAsiaTheme="minorEastAsia" w:hAnsi="Cambria Math"/>
                      <w:lang w:val="da-DK"/>
                    </w:rPr>
                    <m:t>2a+2</m:t>
                  </m:r>
                </m:den>
              </m:f>
              <m:r>
                <w:rPr>
                  <w:rFonts w:ascii="Cambria Math" w:eastAsiaTheme="minorEastAsia" w:hAnsi="Cambria Math"/>
                  <w:lang w:val="da-DK"/>
                </w:rPr>
                <m:t>)</m:t>
              </m:r>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Y-</m:t>
                      </m:r>
                      <m:r>
                        <w:rPr>
                          <w:rFonts w:ascii="Cambria Math" w:eastAsiaTheme="minorEastAsia" w:hAnsi="Cambria Math"/>
                          <w:lang w:val="da-DK"/>
                        </w:rPr>
                        <m:t>e</m:t>
                      </m:r>
                    </m:num>
                    <m:den>
                      <m:r>
                        <w:rPr>
                          <w:rFonts w:ascii="Cambria Math" w:eastAsiaTheme="minorEastAsia" w:hAnsi="Cambria Math"/>
                          <w:lang w:val="da-DK"/>
                        </w:rPr>
                        <m:t>2a+2</m:t>
                      </m:r>
                    </m:den>
                  </m:f>
                  <m:r>
                    <w:rPr>
                      <w:rFonts w:ascii="Cambria Math" w:eastAsiaTheme="minorEastAsia" w:hAnsi="Cambria Math"/>
                      <w:lang w:val="da-DK"/>
                    </w:rPr>
                    <m:t>)</m:t>
                  </m:r>
                </m:e>
                <m:sup>
                  <m:r>
                    <w:rPr>
                      <w:rFonts w:ascii="Cambria Math" w:eastAsiaTheme="minorEastAsia" w:hAnsi="Cambria Math"/>
                      <w:lang w:val="da-DK"/>
                    </w:rPr>
                    <m:t>2</m:t>
                  </m:r>
                </m:sup>
              </m:sSup>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F+e</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Y-</m:t>
                      </m:r>
                      <m:r>
                        <w:rPr>
                          <w:rFonts w:ascii="Cambria Math" w:eastAsiaTheme="minorEastAsia" w:hAnsi="Cambria Math"/>
                          <w:lang w:val="da-DK"/>
                        </w:rPr>
                        <m:t>e</m:t>
                      </m:r>
                    </m:num>
                    <m:den>
                      <m:r>
                        <w:rPr>
                          <w:rFonts w:ascii="Cambria Math" w:eastAsiaTheme="minorEastAsia" w:hAnsi="Cambria Math"/>
                          <w:lang w:val="da-DK"/>
                        </w:rPr>
                        <m:t>2a+2</m:t>
                      </m:r>
                    </m:den>
                  </m:f>
                </m:e>
              </m:d>
              <m:r>
                <w:rPr>
                  <w:rFonts w:ascii="Cambria Math" w:eastAsiaTheme="minorEastAsia" w:hAnsi="Cambria Math"/>
                  <w:lang w:val="da-DK"/>
                </w:rPr>
                <m:t>+a</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Y-</m:t>
                          </m:r>
                          <m:r>
                            <w:rPr>
                              <w:rFonts w:ascii="Cambria Math" w:eastAsiaTheme="minorEastAsia" w:hAnsi="Cambria Math"/>
                              <w:lang w:val="da-DK"/>
                            </w:rPr>
                            <m:t>e</m:t>
                          </m:r>
                        </m:num>
                        <m:den>
                          <m:r>
                            <w:rPr>
                              <w:rFonts w:ascii="Cambria Math" w:eastAsiaTheme="minorEastAsia" w:hAnsi="Cambria Math"/>
                              <w:lang w:val="da-DK"/>
                            </w:rPr>
                            <m:t>2a+2</m:t>
                          </m:r>
                        </m:den>
                      </m:f>
                    </m:e>
                  </m:d>
                </m:e>
                <m:sup>
                  <m:r>
                    <w:rPr>
                      <w:rFonts w:ascii="Cambria Math" w:eastAsiaTheme="minorEastAsia" w:hAnsi="Cambria Math"/>
                      <w:lang w:val="da-DK"/>
                    </w:rPr>
                    <m:t>2</m:t>
                  </m:r>
                </m:sup>
              </m:sSup>
            </m:e>
          </m:d>
          <m:r>
            <w:rPr>
              <w:rFonts w:ascii="Cambria Math" w:eastAsiaTheme="minorEastAsia" w:hAnsi="Cambria Math"/>
              <w:lang w:val="da-DK"/>
            </w:rPr>
            <m:t>=0</m:t>
          </m:r>
          <m:r>
            <w:rPr>
              <w:rFonts w:eastAsiaTheme="minorEastAsia"/>
              <w:lang w:val="da-DK"/>
            </w:rPr>
            <w:br/>
          </m:r>
        </m:oMath>
      </m:oMathPara>
    </w:p>
    <w:sectPr w:rsidR="0032188B" w:rsidRPr="0049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05"/>
    <w:rsid w:val="00040CF8"/>
    <w:rsid w:val="000510D1"/>
    <w:rsid w:val="000B5192"/>
    <w:rsid w:val="001A4814"/>
    <w:rsid w:val="001C190A"/>
    <w:rsid w:val="001F76AA"/>
    <w:rsid w:val="00224CEB"/>
    <w:rsid w:val="00263DB6"/>
    <w:rsid w:val="002663E4"/>
    <w:rsid w:val="002A6FAE"/>
    <w:rsid w:val="002C06B4"/>
    <w:rsid w:val="002F0FDE"/>
    <w:rsid w:val="00320B0E"/>
    <w:rsid w:val="0032188B"/>
    <w:rsid w:val="00355336"/>
    <w:rsid w:val="00357A3B"/>
    <w:rsid w:val="00391317"/>
    <w:rsid w:val="00460B5D"/>
    <w:rsid w:val="00494C42"/>
    <w:rsid w:val="00544608"/>
    <w:rsid w:val="005E35BA"/>
    <w:rsid w:val="006249C4"/>
    <w:rsid w:val="006720A0"/>
    <w:rsid w:val="006D4326"/>
    <w:rsid w:val="006F2B17"/>
    <w:rsid w:val="0071514E"/>
    <w:rsid w:val="00717769"/>
    <w:rsid w:val="00753C17"/>
    <w:rsid w:val="00767C95"/>
    <w:rsid w:val="0078216F"/>
    <w:rsid w:val="007863C0"/>
    <w:rsid w:val="00790FBA"/>
    <w:rsid w:val="007B0D1E"/>
    <w:rsid w:val="007C17A5"/>
    <w:rsid w:val="007D3CDB"/>
    <w:rsid w:val="0088641F"/>
    <w:rsid w:val="00892233"/>
    <w:rsid w:val="008F48F9"/>
    <w:rsid w:val="009025B0"/>
    <w:rsid w:val="009716F3"/>
    <w:rsid w:val="009948B7"/>
    <w:rsid w:val="009C6FA6"/>
    <w:rsid w:val="009D23B6"/>
    <w:rsid w:val="00A14505"/>
    <w:rsid w:val="00A16D9F"/>
    <w:rsid w:val="00AA437F"/>
    <w:rsid w:val="00B548AB"/>
    <w:rsid w:val="00B832A0"/>
    <w:rsid w:val="00BC564B"/>
    <w:rsid w:val="00BD2E1F"/>
    <w:rsid w:val="00C04A68"/>
    <w:rsid w:val="00C85F85"/>
    <w:rsid w:val="00CE6524"/>
    <w:rsid w:val="00D609ED"/>
    <w:rsid w:val="00D654F9"/>
    <w:rsid w:val="00D752AD"/>
    <w:rsid w:val="00D752FA"/>
    <w:rsid w:val="00DD2911"/>
    <w:rsid w:val="00E07D85"/>
    <w:rsid w:val="00E43501"/>
    <w:rsid w:val="00EB544D"/>
    <w:rsid w:val="00F11318"/>
    <w:rsid w:val="00F56F19"/>
    <w:rsid w:val="00FA52DD"/>
    <w:rsid w:val="00FE0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A6F8"/>
  <w15:chartTrackingRefBased/>
  <w15:docId w15:val="{2AC08188-747A-AC46-B60C-504BC391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wnloads/E&#216;%20aktie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wnloads/E&#216;%20aktie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Sammnehæng mellem forventet afkast og standardafvigelsen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Sheet1!$K$28:$K$38</c:f>
              <c:numCache>
                <c:formatCode>0.000</c:formatCode>
                <c:ptCount val="11"/>
                <c:pt idx="0">
                  <c:v>5.8014676289874827E-2</c:v>
                </c:pt>
                <c:pt idx="1">
                  <c:v>5.4123333630652415E-2</c:v>
                </c:pt>
                <c:pt idx="2">
                  <c:v>5.2172060741256576E-2</c:v>
                </c:pt>
                <c:pt idx="3">
                  <c:v>5.2378131897790399E-2</c:v>
                </c:pt>
                <c:pt idx="4">
                  <c:v>5.4717178112854092E-2</c:v>
                </c:pt>
                <c:pt idx="5">
                  <c:v>5.8935783362773567E-2</c:v>
                </c:pt>
                <c:pt idx="6">
                  <c:v>6.4667144988411723E-2</c:v>
                </c:pt>
                <c:pt idx="7">
                  <c:v>7.1548646540233449E-2</c:v>
                </c:pt>
                <c:pt idx="8">
                  <c:v>7.9281360375215326E-2</c:v>
                </c:pt>
                <c:pt idx="9">
                  <c:v>8.7640261778298992E-2</c:v>
                </c:pt>
                <c:pt idx="10">
                  <c:v>9.6462702463756919E-2</c:v>
                </c:pt>
              </c:numCache>
            </c:numRef>
          </c:xVal>
          <c:yVal>
            <c:numRef>
              <c:f>Sheet1!$I$28:$I$38</c:f>
              <c:numCache>
                <c:formatCode>0.000</c:formatCode>
                <c:ptCount val="11"/>
                <c:pt idx="0">
                  <c:v>3.6252458391204591E-2</c:v>
                </c:pt>
                <c:pt idx="1">
                  <c:v>4.083171240435908E-2</c:v>
                </c:pt>
                <c:pt idx="2">
                  <c:v>4.5410966417513576E-2</c:v>
                </c:pt>
                <c:pt idx="3">
                  <c:v>4.9990220430668059E-2</c:v>
                </c:pt>
                <c:pt idx="4">
                  <c:v>5.4569474443822555E-2</c:v>
                </c:pt>
                <c:pt idx="5">
                  <c:v>5.9148728456977044E-2</c:v>
                </c:pt>
                <c:pt idx="6">
                  <c:v>6.3727982470131533E-2</c:v>
                </c:pt>
                <c:pt idx="7">
                  <c:v>6.830723648328603E-2</c:v>
                </c:pt>
                <c:pt idx="8">
                  <c:v>7.2886490496440512E-2</c:v>
                </c:pt>
                <c:pt idx="9">
                  <c:v>7.7465744509595008E-2</c:v>
                </c:pt>
                <c:pt idx="10">
                  <c:v>8.2044998522749504E-2</c:v>
                </c:pt>
              </c:numCache>
            </c:numRef>
          </c:yVal>
          <c:smooth val="1"/>
          <c:extLst>
            <c:ext xmlns:c16="http://schemas.microsoft.com/office/drawing/2014/chart" uri="{C3380CC4-5D6E-409C-BE32-E72D297353CC}">
              <c16:uniqueId val="{00000000-9A48-9044-A83B-F05C0FA22212}"/>
            </c:ext>
          </c:extLst>
        </c:ser>
        <c:dLbls>
          <c:showLegendKey val="0"/>
          <c:showVal val="0"/>
          <c:showCatName val="0"/>
          <c:showSerName val="0"/>
          <c:showPercent val="0"/>
          <c:showBubbleSize val="0"/>
        </c:dLbls>
        <c:axId val="297067359"/>
        <c:axId val="76358751"/>
      </c:scatterChart>
      <c:valAx>
        <c:axId val="297067359"/>
        <c:scaling>
          <c:orientation val="minMax"/>
          <c:min val="4.0000000000000008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Standardafvigelsen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58751"/>
        <c:crosses val="autoZero"/>
        <c:crossBetween val="midCat"/>
      </c:valAx>
      <c:valAx>
        <c:axId val="76358751"/>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Forventet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0673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Sammnehæng mellem forventet afkast og standardafvigelsen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SS+WB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Sheet1!$K$28:$K$38</c:f>
              <c:numCache>
                <c:formatCode>0.000</c:formatCode>
                <c:ptCount val="11"/>
                <c:pt idx="0">
                  <c:v>5.8014676289874827E-2</c:v>
                </c:pt>
                <c:pt idx="1">
                  <c:v>5.4123333630652415E-2</c:v>
                </c:pt>
                <c:pt idx="2">
                  <c:v>5.2172060741256576E-2</c:v>
                </c:pt>
                <c:pt idx="3">
                  <c:v>5.2378131897790399E-2</c:v>
                </c:pt>
                <c:pt idx="4">
                  <c:v>5.4717178112854092E-2</c:v>
                </c:pt>
                <c:pt idx="5">
                  <c:v>5.8935783362773567E-2</c:v>
                </c:pt>
                <c:pt idx="6">
                  <c:v>6.4667144988411723E-2</c:v>
                </c:pt>
                <c:pt idx="7">
                  <c:v>7.1548646540233449E-2</c:v>
                </c:pt>
                <c:pt idx="8">
                  <c:v>7.9281360375215326E-2</c:v>
                </c:pt>
                <c:pt idx="9">
                  <c:v>8.7640261778298992E-2</c:v>
                </c:pt>
                <c:pt idx="10">
                  <c:v>9.6462702463756919E-2</c:v>
                </c:pt>
              </c:numCache>
            </c:numRef>
          </c:xVal>
          <c:yVal>
            <c:numRef>
              <c:f>Sheet1!$I$28:$I$38</c:f>
              <c:numCache>
                <c:formatCode>0.000</c:formatCode>
                <c:ptCount val="11"/>
                <c:pt idx="0">
                  <c:v>3.6252458391204591E-2</c:v>
                </c:pt>
                <c:pt idx="1">
                  <c:v>4.083171240435908E-2</c:v>
                </c:pt>
                <c:pt idx="2">
                  <c:v>4.5410966417513576E-2</c:v>
                </c:pt>
                <c:pt idx="3">
                  <c:v>4.9990220430668059E-2</c:v>
                </c:pt>
                <c:pt idx="4">
                  <c:v>5.4569474443822555E-2</c:v>
                </c:pt>
                <c:pt idx="5">
                  <c:v>5.9148728456977044E-2</c:v>
                </c:pt>
                <c:pt idx="6">
                  <c:v>6.3727982470131533E-2</c:v>
                </c:pt>
                <c:pt idx="7">
                  <c:v>6.830723648328603E-2</c:v>
                </c:pt>
                <c:pt idx="8">
                  <c:v>7.2886490496440512E-2</c:v>
                </c:pt>
                <c:pt idx="9">
                  <c:v>7.7465744509595008E-2</c:v>
                </c:pt>
                <c:pt idx="10">
                  <c:v>8.2044998522749504E-2</c:v>
                </c:pt>
              </c:numCache>
            </c:numRef>
          </c:yVal>
          <c:smooth val="1"/>
          <c:extLst>
            <c:ext xmlns:c16="http://schemas.microsoft.com/office/drawing/2014/chart" uri="{C3380CC4-5D6E-409C-BE32-E72D297353CC}">
              <c16:uniqueId val="{00000000-FF44-464D-ADA3-559A0FA6A091}"/>
            </c:ext>
          </c:extLst>
        </c:ser>
        <c:ser>
          <c:idx val="1"/>
          <c:order val="1"/>
          <c:tx>
            <c:v>RF(-1%)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Sheet1!$Q$28:$Q$38</c:f>
              <c:numCache>
                <c:formatCode>0.000</c:formatCode>
                <c:ptCount val="11"/>
                <c:pt idx="0">
                  <c:v>5.2378131897790399E-2</c:v>
                </c:pt>
                <c:pt idx="1">
                  <c:v>4.7140318708011358E-2</c:v>
                </c:pt>
                <c:pt idx="2">
                  <c:v>4.1902505518232325E-2</c:v>
                </c:pt>
                <c:pt idx="3">
                  <c:v>3.6664692328453284E-2</c:v>
                </c:pt>
                <c:pt idx="4">
                  <c:v>3.1426879138674244E-2</c:v>
                </c:pt>
                <c:pt idx="5">
                  <c:v>2.6189065948895206E-2</c:v>
                </c:pt>
                <c:pt idx="6">
                  <c:v>2.0951252759116166E-2</c:v>
                </c:pt>
                <c:pt idx="7">
                  <c:v>1.5713439569337125E-2</c:v>
                </c:pt>
                <c:pt idx="8">
                  <c:v>1.0475626379558088E-2</c:v>
                </c:pt>
                <c:pt idx="9">
                  <c:v>5.2378131897790475E-3</c:v>
                </c:pt>
                <c:pt idx="10">
                  <c:v>0</c:v>
                </c:pt>
              </c:numCache>
            </c:numRef>
          </c:xVal>
          <c:yVal>
            <c:numRef>
              <c:f>Sheet1!$O$28:$O$38</c:f>
              <c:numCache>
                <c:formatCode>0.000</c:formatCode>
                <c:ptCount val="11"/>
                <c:pt idx="0">
                  <c:v>4.9990220430668059E-2</c:v>
                </c:pt>
                <c:pt idx="1">
                  <c:v>4.3991198387601252E-2</c:v>
                </c:pt>
                <c:pt idx="2">
                  <c:v>3.7992176344534445E-2</c:v>
                </c:pt>
                <c:pt idx="3">
                  <c:v>3.1993154301467638E-2</c:v>
                </c:pt>
                <c:pt idx="4">
                  <c:v>2.5994132258400839E-2</c:v>
                </c:pt>
                <c:pt idx="5">
                  <c:v>1.9995110215334039E-2</c:v>
                </c:pt>
                <c:pt idx="6">
                  <c:v>1.3996088172267232E-2</c:v>
                </c:pt>
                <c:pt idx="7">
                  <c:v>7.9970661292004253E-3</c:v>
                </c:pt>
                <c:pt idx="8">
                  <c:v>1.9980440861336202E-3</c:v>
                </c:pt>
                <c:pt idx="9">
                  <c:v>-4.0009779569331865E-3</c:v>
                </c:pt>
                <c:pt idx="10">
                  <c:v>-0.01</c:v>
                </c:pt>
              </c:numCache>
            </c:numRef>
          </c:yVal>
          <c:smooth val="1"/>
          <c:extLst>
            <c:ext xmlns:c16="http://schemas.microsoft.com/office/drawing/2014/chart" uri="{C3380CC4-5D6E-409C-BE32-E72D297353CC}">
              <c16:uniqueId val="{00000001-FF44-464D-ADA3-559A0FA6A091}"/>
            </c:ext>
          </c:extLst>
        </c:ser>
        <c:ser>
          <c:idx val="2"/>
          <c:order val="2"/>
          <c:tx>
            <c:v>RF(2,5%)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Sheet1!$W$28:$W$38</c:f>
              <c:numCache>
                <c:formatCode>0.000</c:formatCode>
                <c:ptCount val="11"/>
                <c:pt idx="0">
                  <c:v>5.2378131897790399E-2</c:v>
                </c:pt>
                <c:pt idx="1">
                  <c:v>4.7140318708011358E-2</c:v>
                </c:pt>
                <c:pt idx="2">
                  <c:v>4.1902505518232325E-2</c:v>
                </c:pt>
                <c:pt idx="3">
                  <c:v>3.6664692328453284E-2</c:v>
                </c:pt>
                <c:pt idx="4">
                  <c:v>3.1426879138674244E-2</c:v>
                </c:pt>
                <c:pt idx="5">
                  <c:v>2.6189065948895206E-2</c:v>
                </c:pt>
                <c:pt idx="6">
                  <c:v>2.0951252759116166E-2</c:v>
                </c:pt>
                <c:pt idx="7">
                  <c:v>1.5713439569337125E-2</c:v>
                </c:pt>
                <c:pt idx="8">
                  <c:v>1.0475626379558088E-2</c:v>
                </c:pt>
                <c:pt idx="9">
                  <c:v>5.2378131897790475E-3</c:v>
                </c:pt>
                <c:pt idx="10">
                  <c:v>0</c:v>
                </c:pt>
              </c:numCache>
            </c:numRef>
          </c:xVal>
          <c:yVal>
            <c:numRef>
              <c:f>Sheet1!$U$28:$U$38</c:f>
              <c:numCache>
                <c:formatCode>0.000</c:formatCode>
                <c:ptCount val="11"/>
                <c:pt idx="0">
                  <c:v>4.9990220430668059E-2</c:v>
                </c:pt>
                <c:pt idx="1">
                  <c:v>4.7491198387601255E-2</c:v>
                </c:pt>
                <c:pt idx="2">
                  <c:v>4.4992176344534444E-2</c:v>
                </c:pt>
                <c:pt idx="3">
                  <c:v>4.2493154301467641E-2</c:v>
                </c:pt>
                <c:pt idx="4">
                  <c:v>3.9994132258400837E-2</c:v>
                </c:pt>
                <c:pt idx="5">
                  <c:v>3.7495110215334033E-2</c:v>
                </c:pt>
                <c:pt idx="6">
                  <c:v>3.499608817226723E-2</c:v>
                </c:pt>
                <c:pt idx="7">
                  <c:v>3.2497066129200419E-2</c:v>
                </c:pt>
                <c:pt idx="8">
                  <c:v>2.9998044086133616E-2</c:v>
                </c:pt>
                <c:pt idx="9">
                  <c:v>2.7499022043066812E-2</c:v>
                </c:pt>
                <c:pt idx="10">
                  <c:v>2.5000000000000001E-2</c:v>
                </c:pt>
              </c:numCache>
            </c:numRef>
          </c:yVal>
          <c:smooth val="1"/>
          <c:extLst>
            <c:ext xmlns:c16="http://schemas.microsoft.com/office/drawing/2014/chart" uri="{C3380CC4-5D6E-409C-BE32-E72D297353CC}">
              <c16:uniqueId val="{00000002-FF44-464D-ADA3-559A0FA6A091}"/>
            </c:ext>
          </c:extLst>
        </c:ser>
        <c:dLbls>
          <c:showLegendKey val="0"/>
          <c:showVal val="0"/>
          <c:showCatName val="0"/>
          <c:showSerName val="0"/>
          <c:showPercent val="0"/>
          <c:showBubbleSize val="0"/>
        </c:dLbls>
        <c:axId val="297067359"/>
        <c:axId val="76358751"/>
      </c:scatterChart>
      <c:valAx>
        <c:axId val="297067359"/>
        <c:scaling>
          <c:orientation val="minMax"/>
          <c:min val="4.0000000000000008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Standardafvigelsen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58751"/>
        <c:crosses val="autoZero"/>
        <c:crossBetween val="midCat"/>
      </c:valAx>
      <c:valAx>
        <c:axId val="76358751"/>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Forventet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0673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15</cp:revision>
  <dcterms:created xsi:type="dcterms:W3CDTF">2021-06-03T07:00:00Z</dcterms:created>
  <dcterms:modified xsi:type="dcterms:W3CDTF">2021-06-03T11:02:00Z</dcterms:modified>
</cp:coreProperties>
</file>