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2869D" w14:textId="77777777" w:rsidR="001C4BE3" w:rsidRDefault="001C4BE3" w:rsidP="00DD2911">
      <w:pPr>
        <w:rPr>
          <w:b/>
          <w:bCs/>
        </w:rPr>
      </w:pPr>
      <w:r>
        <w:rPr>
          <w:b/>
          <w:bCs/>
        </w:rPr>
        <w:t>2.1</w:t>
      </w:r>
    </w:p>
    <w:p w14:paraId="7CA89C5C" w14:textId="77777777" w:rsidR="001C4BE3" w:rsidRDefault="001C4BE3" w:rsidP="00DD2911">
      <w:proofErr w:type="spellStart"/>
      <w:r>
        <w:t>Anlæg</w:t>
      </w:r>
      <w:proofErr w:type="spellEnd"/>
      <w:r>
        <w:t xml:space="preserve"> A</w:t>
      </w:r>
    </w:p>
    <w:p w14:paraId="1673C5E4" w14:textId="68F61C2C" w:rsidR="001C4BE3" w:rsidRDefault="001C4BE3" w:rsidP="00DD2911">
      <w:pPr>
        <w:rPr>
          <w:b/>
          <w:bCs/>
        </w:rPr>
      </w:pPr>
      <w:r>
        <w:rPr>
          <w:b/>
          <w:bCs/>
          <w:noProof/>
        </w:rPr>
        <w:drawing>
          <wp:inline distT="0" distB="0" distL="0" distR="0" wp14:anchorId="5A89EC7F" wp14:editId="23C8C9E5">
            <wp:extent cx="5731510" cy="136334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1363345"/>
                    </a:xfrm>
                    <a:prstGeom prst="rect">
                      <a:avLst/>
                    </a:prstGeom>
                  </pic:spPr>
                </pic:pic>
              </a:graphicData>
            </a:graphic>
          </wp:inline>
        </w:drawing>
      </w:r>
    </w:p>
    <w:p w14:paraId="7032C178" w14:textId="2B633DB1" w:rsidR="001C4BE3" w:rsidRPr="001C4BE3" w:rsidRDefault="001C4BE3" w:rsidP="00DD2911">
      <w:proofErr w:type="spellStart"/>
      <w:r w:rsidRPr="001C4BE3">
        <w:t>Anlæg</w:t>
      </w:r>
      <w:proofErr w:type="spellEnd"/>
      <w:r w:rsidRPr="001C4BE3">
        <w:t xml:space="preserve"> B</w:t>
      </w:r>
    </w:p>
    <w:p w14:paraId="0DDFD9CC" w14:textId="44A3B6D9" w:rsidR="0078216F" w:rsidRDefault="001C4BE3" w:rsidP="00DD2911">
      <w:r>
        <w:rPr>
          <w:noProof/>
        </w:rPr>
        <w:drawing>
          <wp:inline distT="0" distB="0" distL="0" distR="0" wp14:anchorId="4A634668" wp14:editId="470664DE">
            <wp:extent cx="5731510" cy="13144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314450"/>
                    </a:xfrm>
                    <a:prstGeom prst="rect">
                      <a:avLst/>
                    </a:prstGeom>
                  </pic:spPr>
                </pic:pic>
              </a:graphicData>
            </a:graphic>
          </wp:inline>
        </w:drawing>
      </w:r>
    </w:p>
    <w:p w14:paraId="57AA8E21" w14:textId="451B6606" w:rsidR="001C4BE3" w:rsidRDefault="001C4BE3" w:rsidP="00DD2911"/>
    <w:p w14:paraId="4725CC72" w14:textId="5217861E" w:rsidR="001C4BE3" w:rsidRDefault="001C4BE3" w:rsidP="00DD2911">
      <w:pPr>
        <w:rPr>
          <w:rFonts w:eastAsiaTheme="minorEastAsia"/>
          <w:lang w:val="da-DK"/>
        </w:rPr>
      </w:pPr>
      <w:r w:rsidRPr="001C4BE3">
        <w:rPr>
          <w:lang w:val="da-DK"/>
        </w:rPr>
        <w:t>Det ses her at anlæg A har en kapitalværdi på</w:t>
      </w:r>
      <w:r>
        <w:rPr>
          <w:lang w:val="da-DK"/>
        </w:rPr>
        <w:t xml:space="preserve"> </w:t>
      </w:r>
      <m:oMath>
        <m:r>
          <w:rPr>
            <w:rFonts w:ascii="Cambria Math" w:hAnsi="Cambria Math"/>
            <w:lang w:val="da-DK"/>
          </w:rPr>
          <m:t>2.565.527 DKK</m:t>
        </m:r>
      </m:oMath>
      <w:r>
        <w:rPr>
          <w:rFonts w:eastAsiaTheme="minorEastAsia"/>
          <w:lang w:val="da-DK"/>
        </w:rPr>
        <w:t xml:space="preserve">, og anlæg B har en kapitalværdi på </w:t>
      </w:r>
      <m:oMath>
        <m:r>
          <w:rPr>
            <w:rFonts w:ascii="Cambria Math" w:eastAsiaTheme="minorEastAsia" w:hAnsi="Cambria Math"/>
            <w:lang w:val="da-DK"/>
          </w:rPr>
          <m:t>2.022.471,12 DKK</m:t>
        </m:r>
      </m:oMath>
    </w:p>
    <w:p w14:paraId="6B80FBCC" w14:textId="4E48A537" w:rsidR="001C4BE3" w:rsidRDefault="001C4BE3" w:rsidP="00DD2911">
      <w:pPr>
        <w:rPr>
          <w:rFonts w:eastAsiaTheme="minorEastAsia"/>
          <w:lang w:val="da-DK"/>
        </w:rPr>
      </w:pPr>
    </w:p>
    <w:p w14:paraId="53F6FC3B" w14:textId="6E24A66A" w:rsidR="001C4BE3" w:rsidRDefault="001C4BE3" w:rsidP="00DD2911">
      <w:pPr>
        <w:rPr>
          <w:rFonts w:eastAsiaTheme="minorEastAsia"/>
          <w:lang w:val="da-DK"/>
        </w:rPr>
      </w:pPr>
      <w:r>
        <w:rPr>
          <w:rFonts w:eastAsiaTheme="minorEastAsia"/>
          <w:lang w:val="da-DK"/>
        </w:rPr>
        <w:t xml:space="preserve">Kapitalværdien beskriver investeringens ekstra gevinst kontra at investere ved diskonteringsrenten. Er kapitalværdien positiv skal investeringen altså gennemføres. Det ses her at begge kapitalværdier er positive, derfor skal anlægget med den højeste kapitalværdi gennemføres. </w:t>
      </w:r>
    </w:p>
    <w:p w14:paraId="0F11215A" w14:textId="1F394274" w:rsidR="001C4BE3" w:rsidRDefault="001C4BE3" w:rsidP="00DD2911">
      <w:pPr>
        <w:rPr>
          <w:rFonts w:eastAsiaTheme="minorEastAsia"/>
          <w:lang w:val="da-DK"/>
        </w:rPr>
      </w:pPr>
    </w:p>
    <w:p w14:paraId="72B71DED" w14:textId="0C440C9E" w:rsidR="001C4BE3" w:rsidRDefault="001C4BE3" w:rsidP="00DD2911">
      <w:pPr>
        <w:rPr>
          <w:rFonts w:eastAsiaTheme="minorEastAsia"/>
          <w:lang w:val="da-DK"/>
        </w:rPr>
      </w:pPr>
      <w:r>
        <w:rPr>
          <w:rFonts w:eastAsiaTheme="minorEastAsia"/>
          <w:lang w:val="da-DK"/>
        </w:rPr>
        <w:t xml:space="preserve">Der er dog nogle undtagelser ved dette. Selvom anlæg A skaber større profit, er det ikke sikkert, at Joe og hans venner har råd til at gennemføre investeringen, hvor ved B er et godt alternativ. </w:t>
      </w:r>
    </w:p>
    <w:p w14:paraId="29A4C51E" w14:textId="715E6247" w:rsidR="001C4BE3" w:rsidRDefault="001C4BE3" w:rsidP="00DD2911">
      <w:pPr>
        <w:rPr>
          <w:rFonts w:eastAsiaTheme="minorEastAsia"/>
          <w:lang w:val="da-DK"/>
        </w:rPr>
      </w:pPr>
    </w:p>
    <w:p w14:paraId="4CED2C29" w14:textId="63199B43" w:rsidR="001C4BE3" w:rsidRDefault="001C4BE3" w:rsidP="00DD2911">
      <w:pPr>
        <w:rPr>
          <w:rFonts w:eastAsiaTheme="minorEastAsia"/>
          <w:lang w:val="da-DK"/>
        </w:rPr>
      </w:pPr>
      <w:r>
        <w:rPr>
          <w:rFonts w:eastAsiaTheme="minorEastAsia"/>
          <w:b/>
          <w:bCs/>
          <w:lang w:val="da-DK"/>
        </w:rPr>
        <w:t>2.2</w:t>
      </w:r>
    </w:p>
    <w:p w14:paraId="686641B6" w14:textId="07E939AE" w:rsidR="001C4BE3" w:rsidRDefault="001C4BE3" w:rsidP="00DD2911">
      <w:pPr>
        <w:rPr>
          <w:rFonts w:eastAsiaTheme="minorEastAsia"/>
          <w:lang w:val="da-DK"/>
        </w:rPr>
      </w:pPr>
      <w:r>
        <w:rPr>
          <w:noProof/>
        </w:rPr>
        <w:drawing>
          <wp:inline distT="0" distB="0" distL="0" distR="0" wp14:anchorId="24E3E949" wp14:editId="01031706">
            <wp:extent cx="4572000" cy="2743200"/>
            <wp:effectExtent l="0" t="0" r="12700" b="12700"/>
            <wp:docPr id="3" name="Chart 3">
              <a:extLst xmlns:a="http://schemas.openxmlformats.org/drawingml/2006/main">
                <a:ext uri="{FF2B5EF4-FFF2-40B4-BE49-F238E27FC236}">
                  <a16:creationId xmlns:a16="http://schemas.microsoft.com/office/drawing/2014/main" id="{47B40F18-9752-F849-AC9C-0D3B9FC11F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5A110DF" w14:textId="0F10EB7E" w:rsidR="001C4BE3" w:rsidRDefault="001C4BE3" w:rsidP="00DD2911">
      <w:pPr>
        <w:rPr>
          <w:rFonts w:eastAsiaTheme="minorEastAsia"/>
          <w:lang w:val="da-DK"/>
        </w:rPr>
      </w:pPr>
    </w:p>
    <w:p w14:paraId="2783807E" w14:textId="25593E17" w:rsidR="00B46122" w:rsidRDefault="001C4BE3" w:rsidP="00DD2911">
      <w:pPr>
        <w:rPr>
          <w:rFonts w:eastAsiaTheme="minorEastAsia"/>
          <w:lang w:val="da-DK"/>
        </w:rPr>
      </w:pPr>
      <w:r>
        <w:rPr>
          <w:rFonts w:eastAsiaTheme="minorEastAsia"/>
          <w:lang w:val="da-DK"/>
        </w:rPr>
        <w:lastRenderedPageBreak/>
        <w:t>Ovenstående figur viser sammenhængen mellem nutidsværdierne for anlæg A og B og forskellige dis</w:t>
      </w:r>
      <w:r w:rsidR="00F9277B">
        <w:rPr>
          <w:rFonts w:eastAsiaTheme="minorEastAsia"/>
          <w:lang w:val="da-DK"/>
        </w:rPr>
        <w:t xml:space="preserve">konteringsrenter. Det ses her, at der er en negativ sammenhæng mellem nutidsværdierne og diskonteringsrente. Dette skyldes investeringen har en konventionel tidsprofil. Et negativt CF efterfulgt af positive. Ydermere ses det at anlæg A en højere NPV indtil kapitalomkostningen når ca. 15%, hvorefter </w:t>
      </w:r>
      <w:r w:rsidR="00B46122">
        <w:rPr>
          <w:rFonts w:eastAsiaTheme="minorEastAsia"/>
          <w:lang w:val="da-DK"/>
        </w:rPr>
        <w:t xml:space="preserve">anlæg B har højere NPV. Anlæg A har også en lavere intern rente end anlæg B. På 21,7% og 31,8% for hhv. A og B. Ergo hæves diskonteringsrenten, vil anlæg A være det første, der ikke længere er rentabelt. </w:t>
      </w:r>
    </w:p>
    <w:p w14:paraId="6BAFCE39" w14:textId="528740B0" w:rsidR="00B46122" w:rsidRDefault="00B46122" w:rsidP="00DD2911">
      <w:pPr>
        <w:rPr>
          <w:rFonts w:eastAsiaTheme="minorEastAsia"/>
          <w:lang w:val="da-DK"/>
        </w:rPr>
      </w:pPr>
    </w:p>
    <w:p w14:paraId="29C99401" w14:textId="51033285" w:rsidR="00B46122" w:rsidRDefault="00B46122" w:rsidP="00DD2911">
      <w:pPr>
        <w:rPr>
          <w:rFonts w:eastAsiaTheme="minorEastAsia"/>
          <w:lang w:val="da-DK"/>
        </w:rPr>
      </w:pPr>
    </w:p>
    <w:p w14:paraId="02B5FBFA" w14:textId="6342B0A2" w:rsidR="005257C4" w:rsidRDefault="005257C4" w:rsidP="00DD2911">
      <w:pPr>
        <w:rPr>
          <w:rFonts w:eastAsiaTheme="minorEastAsia"/>
          <w:lang w:val="da-DK"/>
        </w:rPr>
      </w:pPr>
      <w:r>
        <w:rPr>
          <w:rFonts w:eastAsiaTheme="minorEastAsia"/>
          <w:b/>
          <w:bCs/>
          <w:lang w:val="da-DK"/>
        </w:rPr>
        <w:t>2.3</w:t>
      </w:r>
    </w:p>
    <w:p w14:paraId="107F25E6" w14:textId="1973ECA6" w:rsidR="005257C4" w:rsidRDefault="005257C4" w:rsidP="00DD2911">
      <w:pPr>
        <w:rPr>
          <w:rFonts w:eastAsiaTheme="minorEastAsia"/>
          <w:lang w:val="da-DK"/>
        </w:rPr>
      </w:pPr>
      <w:r>
        <w:rPr>
          <w:rFonts w:eastAsiaTheme="minorEastAsia"/>
          <w:lang w:val="da-DK"/>
        </w:rPr>
        <w:t xml:space="preserve">Energiprisen skal falde til </w:t>
      </w:r>
      <w:r w:rsidR="00D3108A">
        <w:rPr>
          <w:rFonts w:eastAsiaTheme="minorEastAsia"/>
          <w:lang w:val="da-DK"/>
        </w:rPr>
        <w:t xml:space="preserve">329,13 før nettonutidsværdierne er ens. Dette er et fald på 61%. </w:t>
      </w:r>
    </w:p>
    <w:p w14:paraId="149E4524" w14:textId="16CF2EF4" w:rsidR="00D3108A" w:rsidRDefault="00D3108A" w:rsidP="00DD2911">
      <w:pPr>
        <w:rPr>
          <w:rFonts w:eastAsiaTheme="minorEastAsia"/>
          <w:lang w:val="da-DK"/>
        </w:rPr>
      </w:pPr>
    </w:p>
    <w:p w14:paraId="2548F4F3" w14:textId="12E116A4" w:rsidR="00D3108A" w:rsidRDefault="00D3108A" w:rsidP="00DD2911">
      <w:pPr>
        <w:rPr>
          <w:rFonts w:eastAsiaTheme="minorEastAsia"/>
          <w:lang w:val="da-DK"/>
        </w:rPr>
      </w:pPr>
      <w:r>
        <w:rPr>
          <w:rFonts w:eastAsiaTheme="minorEastAsia"/>
          <w:lang w:val="da-DK"/>
        </w:rPr>
        <w:t xml:space="preserve">Altså bør virksomheden ikke frygte stigninger i energipriser. </w:t>
      </w:r>
    </w:p>
    <w:p w14:paraId="602E4919" w14:textId="6AB734C6" w:rsidR="00D3108A" w:rsidRDefault="00D3108A" w:rsidP="00DD2911">
      <w:pPr>
        <w:rPr>
          <w:rFonts w:eastAsiaTheme="minorEastAsia"/>
          <w:lang w:val="da-DK"/>
        </w:rPr>
      </w:pPr>
    </w:p>
    <w:p w14:paraId="117070F7" w14:textId="2719AEF5" w:rsidR="00D3108A" w:rsidRDefault="00D3108A" w:rsidP="00DD2911">
      <w:pPr>
        <w:rPr>
          <w:rFonts w:eastAsiaTheme="minorEastAsia"/>
          <w:b/>
          <w:bCs/>
          <w:lang w:val="da-DK"/>
        </w:rPr>
      </w:pPr>
      <w:r>
        <w:rPr>
          <w:rFonts w:eastAsiaTheme="minorEastAsia"/>
          <w:b/>
          <w:bCs/>
          <w:lang w:val="da-DK"/>
        </w:rPr>
        <w:t>2.4</w:t>
      </w:r>
    </w:p>
    <w:p w14:paraId="75FDE67B" w14:textId="77777777" w:rsidR="00D3108A" w:rsidRDefault="00D3108A" w:rsidP="00DD2911">
      <w:pPr>
        <w:rPr>
          <w:rFonts w:eastAsiaTheme="minorEastAsia"/>
          <w:lang w:val="da-DK"/>
        </w:rPr>
      </w:pPr>
      <w:r>
        <w:rPr>
          <w:rFonts w:eastAsiaTheme="minorEastAsia"/>
          <w:lang w:val="da-DK"/>
        </w:rPr>
        <w:t xml:space="preserve">Hvis genafskaffelse ikke er mulig, så skal Joe vælge Anlæg A, da denne har den højeste nutidsværdi. Hvis genafskaffelse er mulig, så skal Joe vælge anlæg C, da anlægget har det højeste CF. Ved hjælp af annuitetsformlen kan man beregne nutidsværdien ved uendelig genanskaffelse. </w:t>
      </w:r>
    </w:p>
    <w:p w14:paraId="1F59A367" w14:textId="6013261D" w:rsidR="00D3108A" w:rsidRPr="00D3108A" w:rsidRDefault="00D3108A" w:rsidP="00DD2911">
      <w:pPr>
        <w:rPr>
          <w:rFonts w:eastAsiaTheme="minorEastAsia"/>
          <w:lang w:val="da-DK"/>
        </w:rPr>
      </w:pPr>
      <m:oMathPara>
        <m:oMath>
          <m:r>
            <w:rPr>
              <w:rFonts w:ascii="Cambria Math" w:eastAsiaTheme="minorEastAsia" w:hAnsi="Cambria Math"/>
              <w:lang w:val="da-DK"/>
            </w:rPr>
            <m:t>Annuitetsformlen=</m:t>
          </m:r>
          <m:f>
            <m:fPr>
              <m:ctrlPr>
                <w:rPr>
                  <w:rFonts w:ascii="Cambria Math" w:eastAsiaTheme="minorEastAsia" w:hAnsi="Cambria Math"/>
                  <w:i/>
                  <w:lang w:val="da-DK"/>
                </w:rPr>
              </m:ctrlPr>
            </m:fPr>
            <m:num>
              <m:r>
                <w:rPr>
                  <w:rFonts w:ascii="Cambria Math" w:eastAsiaTheme="minorEastAsia" w:hAnsi="Cambria Math"/>
                  <w:lang w:val="da-DK"/>
                </w:rPr>
                <m:t>CF</m:t>
              </m:r>
            </m:num>
            <m:den>
              <m:r>
                <w:rPr>
                  <w:rFonts w:ascii="Cambria Math" w:eastAsiaTheme="minorEastAsia" w:hAnsi="Cambria Math"/>
                  <w:lang w:val="da-DK"/>
                </w:rPr>
                <m:t>R</m:t>
              </m:r>
            </m:den>
          </m:f>
          <m:r>
            <w:rPr>
              <w:rFonts w:ascii="Cambria Math" w:eastAsiaTheme="minorEastAsia" w:hAnsi="Cambria Math"/>
              <w:lang w:val="da-DK"/>
            </w:rPr>
            <w:br/>
          </m:r>
        </m:oMath>
      </m:oMathPara>
      <w:r>
        <w:rPr>
          <w:rFonts w:eastAsiaTheme="minorEastAsia"/>
          <w:lang w:val="da-DK"/>
        </w:rPr>
        <w:t xml:space="preserve"> </w:t>
      </w:r>
    </w:p>
    <w:p w14:paraId="54FFB8B9" w14:textId="77777777" w:rsidR="001C4BE3" w:rsidRPr="001C4BE3" w:rsidRDefault="001C4BE3" w:rsidP="00DD2911">
      <w:pPr>
        <w:rPr>
          <w:lang w:val="da-DK"/>
        </w:rPr>
      </w:pPr>
    </w:p>
    <w:sectPr w:rsidR="001C4BE3" w:rsidRPr="001C4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BE3"/>
    <w:rsid w:val="00040CF8"/>
    <w:rsid w:val="000510D1"/>
    <w:rsid w:val="000A3B20"/>
    <w:rsid w:val="001C4BE3"/>
    <w:rsid w:val="00212A68"/>
    <w:rsid w:val="00221B14"/>
    <w:rsid w:val="00355336"/>
    <w:rsid w:val="00357A3B"/>
    <w:rsid w:val="00391317"/>
    <w:rsid w:val="00460B5D"/>
    <w:rsid w:val="005257C4"/>
    <w:rsid w:val="005E35BA"/>
    <w:rsid w:val="00691079"/>
    <w:rsid w:val="006A7AEE"/>
    <w:rsid w:val="00717769"/>
    <w:rsid w:val="007250D9"/>
    <w:rsid w:val="0078216F"/>
    <w:rsid w:val="00790FBA"/>
    <w:rsid w:val="007B0D1E"/>
    <w:rsid w:val="007C068D"/>
    <w:rsid w:val="0088247F"/>
    <w:rsid w:val="0088641F"/>
    <w:rsid w:val="00892233"/>
    <w:rsid w:val="00897B8E"/>
    <w:rsid w:val="008C65CE"/>
    <w:rsid w:val="009025B0"/>
    <w:rsid w:val="009716F3"/>
    <w:rsid w:val="009948B7"/>
    <w:rsid w:val="009C6FA6"/>
    <w:rsid w:val="00AA437F"/>
    <w:rsid w:val="00B46122"/>
    <w:rsid w:val="00B832A0"/>
    <w:rsid w:val="00BD2E1F"/>
    <w:rsid w:val="00C560BF"/>
    <w:rsid w:val="00C70401"/>
    <w:rsid w:val="00C85F85"/>
    <w:rsid w:val="00D3108A"/>
    <w:rsid w:val="00D609ED"/>
    <w:rsid w:val="00D752AD"/>
    <w:rsid w:val="00DA732B"/>
    <w:rsid w:val="00DD2911"/>
    <w:rsid w:val="00E43501"/>
    <w:rsid w:val="00EF4C99"/>
    <w:rsid w:val="00F927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F5884E"/>
  <w15:chartTrackingRefBased/>
  <w15:docId w15:val="{53425266-75AD-6D43-AB8E-DD071EE18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C4B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Book3"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Nutidsværdi B</c:v>
          </c:tx>
          <c:spPr>
            <a:ln w="28575" cap="rnd">
              <a:solidFill>
                <a:schemeClr val="accent1"/>
              </a:solidFill>
              <a:round/>
            </a:ln>
            <a:effectLst/>
          </c:spPr>
          <c:marker>
            <c:symbol val="none"/>
          </c:marker>
          <c:cat>
            <c:numRef>
              <c:f>Skabelon!$F$30:$AO$30</c:f>
              <c:numCache>
                <c:formatCode>0.00%</c:formatCode>
                <c:ptCount val="36"/>
                <c:pt idx="0">
                  <c:v>0</c:v>
                </c:pt>
                <c:pt idx="1">
                  <c:v>0.01</c:v>
                </c:pt>
                <c:pt idx="2">
                  <c:v>0.02</c:v>
                </c:pt>
                <c:pt idx="3">
                  <c:v>0.03</c:v>
                </c:pt>
                <c:pt idx="4">
                  <c:v>0.04</c:v>
                </c:pt>
                <c:pt idx="5">
                  <c:v>0.05</c:v>
                </c:pt>
                <c:pt idx="6">
                  <c:v>6.0000000000000005E-2</c:v>
                </c:pt>
                <c:pt idx="7">
                  <c:v>7.0000000000000007E-2</c:v>
                </c:pt>
                <c:pt idx="8">
                  <c:v>0.08</c:v>
                </c:pt>
                <c:pt idx="9">
                  <c:v>0.09</c:v>
                </c:pt>
                <c:pt idx="10">
                  <c:v>9.9999999999999992E-2</c:v>
                </c:pt>
                <c:pt idx="11">
                  <c:v>0.10999999999999999</c:v>
                </c:pt>
                <c:pt idx="12">
                  <c:v>0.11999999999999998</c:v>
                </c:pt>
                <c:pt idx="13">
                  <c:v>0.12999999999999998</c:v>
                </c:pt>
                <c:pt idx="14">
                  <c:v>0.13999999999999999</c:v>
                </c:pt>
                <c:pt idx="15">
                  <c:v>0.15</c:v>
                </c:pt>
                <c:pt idx="16">
                  <c:v>0.16</c:v>
                </c:pt>
                <c:pt idx="17">
                  <c:v>0.17</c:v>
                </c:pt>
                <c:pt idx="18">
                  <c:v>0.18000000000000002</c:v>
                </c:pt>
                <c:pt idx="19">
                  <c:v>0.19000000000000003</c:v>
                </c:pt>
                <c:pt idx="20">
                  <c:v>0.20000000000000004</c:v>
                </c:pt>
                <c:pt idx="21">
                  <c:v>0.21000000000000005</c:v>
                </c:pt>
                <c:pt idx="22">
                  <c:v>0.22000000000000006</c:v>
                </c:pt>
                <c:pt idx="23">
                  <c:v>0.23000000000000007</c:v>
                </c:pt>
                <c:pt idx="24">
                  <c:v>0.24000000000000007</c:v>
                </c:pt>
                <c:pt idx="25">
                  <c:v>0.25000000000000006</c:v>
                </c:pt>
                <c:pt idx="26">
                  <c:v>0.26000000000000006</c:v>
                </c:pt>
                <c:pt idx="27">
                  <c:v>0.27000000000000007</c:v>
                </c:pt>
                <c:pt idx="28">
                  <c:v>0.28000000000000008</c:v>
                </c:pt>
                <c:pt idx="29">
                  <c:v>0.29000000000000009</c:v>
                </c:pt>
                <c:pt idx="30">
                  <c:v>0.3000000000000001</c:v>
                </c:pt>
                <c:pt idx="31">
                  <c:v>0.31000000000000011</c:v>
                </c:pt>
                <c:pt idx="32">
                  <c:v>0.32000000000000012</c:v>
                </c:pt>
                <c:pt idx="33">
                  <c:v>0.33000000000000013</c:v>
                </c:pt>
                <c:pt idx="34">
                  <c:v>0.34000000000000014</c:v>
                </c:pt>
                <c:pt idx="35">
                  <c:v>0.35000000000000014</c:v>
                </c:pt>
              </c:numCache>
            </c:numRef>
          </c:cat>
          <c:val>
            <c:numRef>
              <c:f>Skabelon!$F$31:$AO$31</c:f>
              <c:numCache>
                <c:formatCode>#,##0_ ;[Red]\-#,##0\ </c:formatCode>
                <c:ptCount val="36"/>
                <c:pt idx="0">
                  <c:v>2889581.25</c:v>
                </c:pt>
                <c:pt idx="1">
                  <c:v>2650286.8832359342</c:v>
                </c:pt>
                <c:pt idx="2">
                  <c:v>2498252.6365058608</c:v>
                </c:pt>
                <c:pt idx="3">
                  <c:v>2353756.2513063522</c:v>
                </c:pt>
                <c:pt idx="4">
                  <c:v>2216325.6368965302</c:v>
                </c:pt>
                <c:pt idx="5">
                  <c:v>2085523.2541236905</c:v>
                </c:pt>
                <c:pt idx="6">
                  <c:v>1960943.2801291132</c:v>
                </c:pt>
                <c:pt idx="7">
                  <c:v>1842209.0269383527</c:v>
                </c:pt>
                <c:pt idx="8">
                  <c:v>1728970.589649532</c:v>
                </c:pt>
                <c:pt idx="9">
                  <c:v>1620902.7023656978</c:v>
                </c:pt>
                <c:pt idx="10">
                  <c:v>1517702.7822007295</c:v>
                </c:pt>
                <c:pt idx="11">
                  <c:v>1419089.143647748</c:v>
                </c:pt>
                <c:pt idx="12">
                  <c:v>1324799.3673572941</c:v>
                </c:pt>
                <c:pt idx="13">
                  <c:v>1234588.80895042</c:v>
                </c:pt>
                <c:pt idx="14">
                  <c:v>1148229.2349078162</c:v>
                </c:pt>
                <c:pt idx="15">
                  <c:v>1065507.5738471737</c:v>
                </c:pt>
                <c:pt idx="16">
                  <c:v>986224.77264201874</c:v>
                </c:pt>
                <c:pt idx="17">
                  <c:v>910194.74786003912</c:v>
                </c:pt>
                <c:pt idx="18">
                  <c:v>837243.42391943978</c:v>
                </c:pt>
                <c:pt idx="19">
                  <c:v>767207.85018909303</c:v>
                </c:pt>
                <c:pt idx="20">
                  <c:v>699935.39000196569</c:v>
                </c:pt>
                <c:pt idx="21">
                  <c:v>635282.97522010515</c:v>
                </c:pt>
                <c:pt idx="22">
                  <c:v>573116.42059132922</c:v>
                </c:pt>
                <c:pt idx="23">
                  <c:v>513309.79267950216</c:v>
                </c:pt>
                <c:pt idx="24">
                  <c:v>455744.82863824395</c:v>
                </c:pt>
                <c:pt idx="25">
                  <c:v>400310.40053759981</c:v>
                </c:pt>
                <c:pt idx="26">
                  <c:v>346902.02134963265</c:v>
                </c:pt>
                <c:pt idx="27">
                  <c:v>295421.38905652333</c:v>
                </c:pt>
                <c:pt idx="28">
                  <c:v>245775.96566752344</c:v>
                </c:pt>
                <c:pt idx="29">
                  <c:v>197878.58822260844</c:v>
                </c:pt>
                <c:pt idx="30">
                  <c:v>151647.10912408167</c:v>
                </c:pt>
                <c:pt idx="31">
                  <c:v>107004.06337550236</c:v>
                </c:pt>
                <c:pt idx="32">
                  <c:v>63876.360522789881</c:v>
                </c:pt>
                <c:pt idx="33">
                  <c:v>22194.999287324026</c:v>
                </c:pt>
                <c:pt idx="34">
                  <c:v>-18105.196942484938</c:v>
                </c:pt>
                <c:pt idx="35">
                  <c:v>-57085.825434598839</c:v>
                </c:pt>
              </c:numCache>
            </c:numRef>
          </c:val>
          <c:smooth val="0"/>
          <c:extLst>
            <c:ext xmlns:c16="http://schemas.microsoft.com/office/drawing/2014/chart" uri="{C3380CC4-5D6E-409C-BE32-E72D297353CC}">
              <c16:uniqueId val="{00000000-EAA7-8E44-9AF2-958BBB95AB65}"/>
            </c:ext>
          </c:extLst>
        </c:ser>
        <c:ser>
          <c:idx val="1"/>
          <c:order val="1"/>
          <c:tx>
            <c:v>Nutidsværdi A</c:v>
          </c:tx>
          <c:spPr>
            <a:ln w="28575" cap="rnd">
              <a:solidFill>
                <a:schemeClr val="accent2"/>
              </a:solidFill>
              <a:round/>
            </a:ln>
            <a:effectLst/>
          </c:spPr>
          <c:marker>
            <c:symbol val="none"/>
          </c:marker>
          <c:val>
            <c:numRef>
              <c:f>Sheet1!$F$38:$AO$38</c:f>
              <c:numCache>
                <c:formatCode>#,##0_ ;[Red]\-#,##0\ </c:formatCode>
                <c:ptCount val="36"/>
                <c:pt idx="0">
                  <c:v>6890586</c:v>
                </c:pt>
                <c:pt idx="1">
                  <c:v>6309730.7592747733</c:v>
                </c:pt>
                <c:pt idx="2">
                  <c:v>5769721.0718568787</c:v>
                </c:pt>
                <c:pt idx="3">
                  <c:v>5267080.6749792751</c:v>
                </c:pt>
                <c:pt idx="4">
                  <c:v>4798671.08393915</c:v>
                </c:pt>
                <c:pt idx="5">
                  <c:v>4361655.1801081039</c:v>
                </c:pt>
                <c:pt idx="6">
                  <c:v>3953465.0794363283</c:v>
                </c:pt>
                <c:pt idx="7">
                  <c:v>3571773.739021834</c:v>
                </c:pt>
                <c:pt idx="8">
                  <c:v>3214469.8327853205</c:v>
                </c:pt>
                <c:pt idx="9">
                  <c:v>2879635.4901941745</c:v>
                </c:pt>
                <c:pt idx="10">
                  <c:v>2565526.5459203664</c:v>
                </c:pt>
                <c:pt idx="11">
                  <c:v>2270554.9946458414</c:v>
                </c:pt>
                <c:pt idx="12">
                  <c:v>1993273.3850802947</c:v>
                </c:pt>
                <c:pt idx="13">
                  <c:v>1732360.9215875855</c:v>
                </c:pt>
                <c:pt idx="14">
                  <c:v>1486611.0714361304</c:v>
                </c:pt>
                <c:pt idx="15">
                  <c:v>1254920.5012800638</c:v>
                </c:pt>
                <c:pt idx="16">
                  <c:v>1036279.1886202665</c:v>
                </c:pt>
                <c:pt idx="17">
                  <c:v>829761.57317973021</c:v>
                </c:pt>
                <c:pt idx="18">
                  <c:v>634518.62977356091</c:v>
                </c:pt>
                <c:pt idx="19">
                  <c:v>449770.75871631969</c:v>
                </c:pt>
                <c:pt idx="20">
                  <c:v>274801.40239098389</c:v>
                </c:pt>
                <c:pt idx="21">
                  <c:v>108951.30756406672</c:v>
                </c:pt>
                <c:pt idx="22">
                  <c:v>-48386.637408948503</c:v>
                </c:pt>
                <c:pt idx="23">
                  <c:v>-197772.05299477652</c:v>
                </c:pt>
                <c:pt idx="24">
                  <c:v>-339721.26171653997</c:v>
                </c:pt>
                <c:pt idx="25">
                  <c:v>-474711.07302604802</c:v>
                </c:pt>
                <c:pt idx="26">
                  <c:v>-603182.20302654803</c:v>
                </c:pt>
                <c:pt idx="27">
                  <c:v>-725542.36734175403</c:v>
                </c:pt>
                <c:pt idx="28">
                  <c:v>-842169.08110698126</c:v>
                </c:pt>
                <c:pt idx="29">
                  <c:v>-953412.19625836518</c:v>
                </c:pt>
                <c:pt idx="30">
                  <c:v>-1059596.2029497558</c:v>
                </c:pt>
                <c:pt idx="31">
                  <c:v>-1161022.3189768475</c:v>
                </c:pt>
                <c:pt idx="32">
                  <c:v>-1257970.3884843336</c:v>
                </c:pt>
                <c:pt idx="33">
                  <c:v>-1350700.6089314176</c:v>
                </c:pt>
                <c:pt idx="34">
                  <c:v>-1439455.1032563508</c:v>
                </c:pt>
                <c:pt idx="35">
                  <c:v>-1524459.3523791023</c:v>
                </c:pt>
              </c:numCache>
            </c:numRef>
          </c:val>
          <c:smooth val="0"/>
          <c:extLst>
            <c:ext xmlns:c16="http://schemas.microsoft.com/office/drawing/2014/chart" uri="{C3380CC4-5D6E-409C-BE32-E72D297353CC}">
              <c16:uniqueId val="{00000001-EAA7-8E44-9AF2-958BBB95AB65}"/>
            </c:ext>
          </c:extLst>
        </c:ser>
        <c:dLbls>
          <c:showLegendKey val="0"/>
          <c:showVal val="0"/>
          <c:showCatName val="0"/>
          <c:showSerName val="0"/>
          <c:showPercent val="0"/>
          <c:showBubbleSize val="0"/>
        </c:dLbls>
        <c:smooth val="0"/>
        <c:axId val="22107695"/>
        <c:axId val="54834239"/>
      </c:lineChart>
      <c:catAx>
        <c:axId val="22107695"/>
        <c:scaling>
          <c:orientation val="minMax"/>
        </c:scaling>
        <c:delete val="0"/>
        <c:axPos val="b"/>
        <c:numFmt formatCode="0.00%"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834239"/>
        <c:crosses val="autoZero"/>
        <c:auto val="1"/>
        <c:lblAlgn val="ctr"/>
        <c:lblOffset val="100"/>
        <c:noMultiLvlLbl val="0"/>
      </c:catAx>
      <c:valAx>
        <c:axId val="54834239"/>
        <c:scaling>
          <c:orientation val="minMax"/>
        </c:scaling>
        <c:delete val="0"/>
        <c:axPos val="l"/>
        <c:majorGridlines>
          <c:spPr>
            <a:ln w="9525" cap="flat" cmpd="sng" algn="ctr">
              <a:solidFill>
                <a:schemeClr val="tx1">
                  <a:lumMod val="15000"/>
                  <a:lumOff val="85000"/>
                </a:schemeClr>
              </a:solidFill>
              <a:round/>
            </a:ln>
            <a:effectLst/>
          </c:spPr>
        </c:majorGridlines>
        <c:numFmt formatCode="#,##0_ ;[Red]\-#,##0\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1076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2</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Vanderhaegen</dc:creator>
  <cp:keywords/>
  <dc:description/>
  <cp:lastModifiedBy>Jeppe Vanderhaegen</cp:lastModifiedBy>
  <cp:revision>1</cp:revision>
  <dcterms:created xsi:type="dcterms:W3CDTF">2021-05-31T18:16:00Z</dcterms:created>
  <dcterms:modified xsi:type="dcterms:W3CDTF">2021-06-02T10:06:00Z</dcterms:modified>
</cp:coreProperties>
</file>