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94A52" w14:textId="659B9C67" w:rsidR="001620E3" w:rsidRPr="001620E3" w:rsidRDefault="001620E3" w:rsidP="00391317">
      <w:r>
        <w:rPr>
          <w:b/>
          <w:bCs/>
        </w:rPr>
        <w:t>2.1</w:t>
      </w:r>
    </w:p>
    <w:p w14:paraId="6955FCA8" w14:textId="1DCBFE67" w:rsidR="0078216F" w:rsidRDefault="001620E3" w:rsidP="00391317">
      <w:r>
        <w:rPr>
          <w:noProof/>
        </w:rPr>
        <w:drawing>
          <wp:inline distT="0" distB="0" distL="0" distR="0" wp14:anchorId="6D8D576A" wp14:editId="79C1735B">
            <wp:extent cx="5731510" cy="1621790"/>
            <wp:effectExtent l="0" t="0" r="0" b="381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621790"/>
                    </a:xfrm>
                    <a:prstGeom prst="rect">
                      <a:avLst/>
                    </a:prstGeom>
                  </pic:spPr>
                </pic:pic>
              </a:graphicData>
            </a:graphic>
          </wp:inline>
        </w:drawing>
      </w:r>
    </w:p>
    <w:p w14:paraId="30E25DB1" w14:textId="2CBA49C1" w:rsidR="001620E3" w:rsidRDefault="001620E3" w:rsidP="00391317"/>
    <w:p w14:paraId="4C2DF25C" w14:textId="47DF7E26" w:rsidR="001620E3" w:rsidRDefault="001620E3" w:rsidP="00391317">
      <w:pPr>
        <w:rPr>
          <w:rFonts w:eastAsiaTheme="minorEastAsia"/>
          <w:lang w:val="da-DK"/>
        </w:rPr>
      </w:pPr>
      <w:r w:rsidRPr="001620E3">
        <w:rPr>
          <w:lang w:val="da-DK"/>
        </w:rPr>
        <w:t xml:space="preserve">Den ovenstående tabe viser CF gennem investeringens levetid. </w:t>
      </w:r>
      <w:r>
        <w:rPr>
          <w:lang w:val="da-DK"/>
        </w:rPr>
        <w:t xml:space="preserve">Kapitalværdien er beregnet til </w:t>
      </w:r>
      <m:oMath>
        <m:r>
          <w:rPr>
            <w:rFonts w:ascii="Cambria Math" w:hAnsi="Cambria Math"/>
            <w:lang w:val="da-DK"/>
          </w:rPr>
          <m:t>2.194.071,94</m:t>
        </m:r>
        <m:r>
          <w:rPr>
            <w:rFonts w:ascii="Cambria Math" w:eastAsiaTheme="minorEastAsia" w:hAnsi="Cambria Math"/>
            <w:lang w:val="da-DK"/>
          </w:rPr>
          <m:t xml:space="preserve"> DKK</m:t>
        </m:r>
      </m:oMath>
      <w:r>
        <w:rPr>
          <w:rFonts w:eastAsiaTheme="minorEastAsia"/>
          <w:lang w:val="da-DK"/>
        </w:rPr>
        <w:t xml:space="preserve">. Dette er altså den ekstra gevinst, som investeringen generer, kontra at investere ved kapitalomkostningen. Så længe kapitalværdien er positiv, så bør virksomheden gennemføre investeringen. </w:t>
      </w:r>
    </w:p>
    <w:p w14:paraId="63F75144" w14:textId="21F59943" w:rsidR="001620E3" w:rsidRDefault="001620E3" w:rsidP="00391317">
      <w:pPr>
        <w:rPr>
          <w:rFonts w:eastAsiaTheme="minorEastAsia"/>
          <w:lang w:val="da-DK"/>
        </w:rPr>
      </w:pPr>
    </w:p>
    <w:p w14:paraId="660566F8" w14:textId="60A71054" w:rsidR="001620E3" w:rsidRDefault="001620E3" w:rsidP="00391317">
      <w:pPr>
        <w:rPr>
          <w:rFonts w:eastAsiaTheme="minorEastAsia"/>
          <w:b/>
          <w:bCs/>
          <w:lang w:val="da-DK"/>
        </w:rPr>
      </w:pPr>
      <w:r>
        <w:rPr>
          <w:rFonts w:eastAsiaTheme="minorEastAsia"/>
          <w:b/>
          <w:bCs/>
          <w:lang w:val="da-DK"/>
        </w:rPr>
        <w:t>2.2</w:t>
      </w:r>
    </w:p>
    <w:p w14:paraId="042A3E1D" w14:textId="77777777" w:rsidR="001620E3" w:rsidRPr="001620E3" w:rsidRDefault="001620E3" w:rsidP="00391317">
      <w:pPr>
        <w:rPr>
          <w:rFonts w:eastAsiaTheme="minorEastAsia"/>
          <w:lang w:val="da-DK"/>
        </w:rPr>
      </w:pPr>
    </w:p>
    <w:p w14:paraId="745AD4AF" w14:textId="1DF5A1EF" w:rsidR="001620E3" w:rsidRDefault="001620E3" w:rsidP="00391317">
      <w:pPr>
        <w:rPr>
          <w:rFonts w:eastAsiaTheme="minorEastAsia"/>
          <w:lang w:val="da-DK"/>
        </w:rPr>
      </w:pPr>
      <w:r>
        <w:rPr>
          <w:noProof/>
        </w:rPr>
        <w:drawing>
          <wp:inline distT="0" distB="0" distL="0" distR="0" wp14:anchorId="5F48B04C" wp14:editId="70D195AE">
            <wp:extent cx="4572000" cy="2743200"/>
            <wp:effectExtent l="0" t="0" r="12700" b="12700"/>
            <wp:docPr id="2" name="Chart 2">
              <a:extLst xmlns:a="http://schemas.openxmlformats.org/drawingml/2006/main">
                <a:ext uri="{FF2B5EF4-FFF2-40B4-BE49-F238E27FC236}">
                  <a16:creationId xmlns:a16="http://schemas.microsoft.com/office/drawing/2014/main" id="{5258B15E-4471-8549-9D54-3CE9D197D2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35219F3" w14:textId="3FE88BDA" w:rsidR="001620E3" w:rsidRDefault="001620E3" w:rsidP="00391317">
      <w:pPr>
        <w:rPr>
          <w:rFonts w:eastAsiaTheme="minorEastAsia"/>
          <w:lang w:val="da-DK"/>
        </w:rPr>
      </w:pPr>
    </w:p>
    <w:p w14:paraId="79C6728C" w14:textId="4A0AD548" w:rsidR="001620E3" w:rsidRDefault="001620E3" w:rsidP="00391317">
      <w:pPr>
        <w:rPr>
          <w:rFonts w:eastAsiaTheme="minorEastAsia"/>
          <w:lang w:val="da-DK"/>
        </w:rPr>
      </w:pPr>
      <w:r>
        <w:rPr>
          <w:rFonts w:eastAsiaTheme="minorEastAsia"/>
          <w:lang w:val="da-DK"/>
        </w:rPr>
        <w:t xml:space="preserve">Den negative sammenhæng skyldes en konventionel tidsprofil, hvor et negativt </w:t>
      </w:r>
      <w:proofErr w:type="spellStart"/>
      <w:r>
        <w:rPr>
          <w:rFonts w:eastAsiaTheme="minorEastAsia"/>
          <w:lang w:val="da-DK"/>
        </w:rPr>
        <w:t>cashflow</w:t>
      </w:r>
      <w:proofErr w:type="spellEnd"/>
      <w:r>
        <w:rPr>
          <w:rFonts w:eastAsiaTheme="minorEastAsia"/>
          <w:lang w:val="da-DK"/>
        </w:rPr>
        <w:t xml:space="preserve"> efterfølges af positive. Den interne rente er beregnet til 14%, og </w:t>
      </w:r>
      <w:r w:rsidR="002B54E0">
        <w:rPr>
          <w:rFonts w:eastAsiaTheme="minorEastAsia"/>
          <w:lang w:val="da-DK"/>
        </w:rPr>
        <w:t xml:space="preserve">beskriver diskonteringsrenten, der giver en NPV lig 0. Derfor skal investeringen kun gennemføres, hvis den interne rente er under 14%. </w:t>
      </w:r>
    </w:p>
    <w:p w14:paraId="1CA50DEA" w14:textId="0BA21EC6" w:rsidR="002B54E0" w:rsidRDefault="002B54E0" w:rsidP="00391317">
      <w:pPr>
        <w:rPr>
          <w:rFonts w:eastAsiaTheme="minorEastAsia"/>
          <w:lang w:val="da-DK"/>
        </w:rPr>
      </w:pPr>
      <w:r>
        <w:rPr>
          <w:rFonts w:eastAsiaTheme="minorEastAsia"/>
          <w:lang w:val="da-DK"/>
        </w:rPr>
        <w:t xml:space="preserve">Den modificerede interne rente er 11,2%. Denne beskriver at de positive cashflows geninvesteres til kapitalomkostningen. Da investeringen ikke kan udbygges eller minimeres, må det antages, at man geninvestere frigjorte midler til kapitalomkostningen, hvilket derfor er den mest retvisende måleenhed. </w:t>
      </w:r>
    </w:p>
    <w:p w14:paraId="6583566A" w14:textId="7A970698" w:rsidR="002B54E0" w:rsidRDefault="002B54E0" w:rsidP="00391317">
      <w:pPr>
        <w:rPr>
          <w:rFonts w:eastAsiaTheme="minorEastAsia"/>
          <w:lang w:val="da-DK"/>
        </w:rPr>
      </w:pPr>
    </w:p>
    <w:p w14:paraId="3C79F143" w14:textId="77777777" w:rsidR="002B54E0" w:rsidRDefault="002B54E0" w:rsidP="00391317">
      <w:pPr>
        <w:rPr>
          <w:rFonts w:eastAsiaTheme="minorEastAsia"/>
          <w:b/>
          <w:bCs/>
          <w:lang w:val="da-DK"/>
        </w:rPr>
      </w:pPr>
    </w:p>
    <w:p w14:paraId="27A8DD40" w14:textId="77777777" w:rsidR="002B54E0" w:rsidRDefault="002B54E0" w:rsidP="00391317">
      <w:pPr>
        <w:rPr>
          <w:rFonts w:eastAsiaTheme="minorEastAsia"/>
          <w:b/>
          <w:bCs/>
          <w:lang w:val="da-DK"/>
        </w:rPr>
      </w:pPr>
    </w:p>
    <w:p w14:paraId="75B3B8F1" w14:textId="77777777" w:rsidR="002B54E0" w:rsidRDefault="002B54E0" w:rsidP="00391317">
      <w:pPr>
        <w:rPr>
          <w:rFonts w:eastAsiaTheme="minorEastAsia"/>
          <w:b/>
          <w:bCs/>
          <w:lang w:val="da-DK"/>
        </w:rPr>
      </w:pPr>
    </w:p>
    <w:p w14:paraId="27373F61" w14:textId="77777777" w:rsidR="002B54E0" w:rsidRDefault="002B54E0" w:rsidP="00391317">
      <w:pPr>
        <w:rPr>
          <w:rFonts w:eastAsiaTheme="minorEastAsia"/>
          <w:b/>
          <w:bCs/>
          <w:lang w:val="da-DK"/>
        </w:rPr>
      </w:pPr>
    </w:p>
    <w:p w14:paraId="174AF974" w14:textId="77777777" w:rsidR="002B54E0" w:rsidRDefault="002B54E0" w:rsidP="00391317">
      <w:pPr>
        <w:rPr>
          <w:rFonts w:eastAsiaTheme="minorEastAsia"/>
          <w:b/>
          <w:bCs/>
          <w:lang w:val="da-DK"/>
        </w:rPr>
      </w:pPr>
    </w:p>
    <w:p w14:paraId="0EE4F4E6" w14:textId="0D8736B8" w:rsidR="002B54E0" w:rsidRDefault="002B54E0" w:rsidP="00391317">
      <w:pPr>
        <w:rPr>
          <w:rFonts w:eastAsiaTheme="minorEastAsia"/>
          <w:b/>
          <w:bCs/>
          <w:lang w:val="da-DK"/>
        </w:rPr>
      </w:pPr>
      <w:r>
        <w:rPr>
          <w:rFonts w:eastAsiaTheme="minorEastAsia"/>
          <w:b/>
          <w:bCs/>
          <w:lang w:val="da-DK"/>
        </w:rPr>
        <w:lastRenderedPageBreak/>
        <w:t>2.3</w:t>
      </w:r>
    </w:p>
    <w:p w14:paraId="0DE271DC" w14:textId="32508AFE" w:rsidR="002B54E0" w:rsidRDefault="002B54E0" w:rsidP="00391317">
      <w:pPr>
        <w:rPr>
          <w:rFonts w:eastAsiaTheme="minorEastAsia"/>
          <w:b/>
          <w:bCs/>
          <w:lang w:val="da-DK"/>
        </w:rPr>
      </w:pPr>
      <w:r>
        <w:rPr>
          <w:noProof/>
        </w:rPr>
        <w:drawing>
          <wp:inline distT="0" distB="0" distL="0" distR="0" wp14:anchorId="1FFB8286" wp14:editId="1D208ACE">
            <wp:extent cx="4572000" cy="2743200"/>
            <wp:effectExtent l="0" t="0" r="12700" b="12700"/>
            <wp:docPr id="3" name="Chart 3">
              <a:extLst xmlns:a="http://schemas.openxmlformats.org/drawingml/2006/main">
                <a:ext uri="{FF2B5EF4-FFF2-40B4-BE49-F238E27FC236}">
                  <a16:creationId xmlns:a16="http://schemas.microsoft.com/office/drawing/2014/main" id="{DDBFF476-C77B-8B44-A1BB-EE76A82DFE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6F1006C" w14:textId="571E7FC1" w:rsidR="002B54E0" w:rsidRDefault="002B54E0" w:rsidP="00391317">
      <w:pPr>
        <w:rPr>
          <w:rFonts w:eastAsiaTheme="minorEastAsia"/>
          <w:b/>
          <w:bCs/>
          <w:lang w:val="da-DK"/>
        </w:rPr>
      </w:pPr>
    </w:p>
    <w:p w14:paraId="4817FC35" w14:textId="0A05A32C" w:rsidR="002B54E0" w:rsidRDefault="002B54E0" w:rsidP="00391317">
      <w:pPr>
        <w:rPr>
          <w:rFonts w:eastAsiaTheme="minorEastAsia"/>
          <w:lang w:val="da-DK"/>
        </w:rPr>
      </w:pPr>
      <w:r>
        <w:rPr>
          <w:rFonts w:eastAsiaTheme="minorEastAsia"/>
          <w:lang w:val="da-DK"/>
        </w:rPr>
        <w:t xml:space="preserve">Der er en </w:t>
      </w:r>
      <w:proofErr w:type="spellStart"/>
      <w:r>
        <w:rPr>
          <w:rFonts w:eastAsiaTheme="minorEastAsia"/>
          <w:lang w:val="da-DK"/>
        </w:rPr>
        <w:t>linæer</w:t>
      </w:r>
      <w:proofErr w:type="spellEnd"/>
      <w:r>
        <w:rPr>
          <w:rFonts w:eastAsiaTheme="minorEastAsia"/>
          <w:lang w:val="da-DK"/>
        </w:rPr>
        <w:t xml:space="preserve"> negativ sammenhæng mellem en stigning i lønnen og kapitalværdien. Kapitalværdien er lig med 0, når lønnen er 571. Altså 2 gange mere end det oprindelige. Selvom et lønpres på længere sigt kan hæve lønomkostninger, burde det ikke have nogen større effekt på kortsigt. </w:t>
      </w:r>
    </w:p>
    <w:p w14:paraId="15518B74" w14:textId="745FAB04" w:rsidR="002B54E0" w:rsidRDefault="002B54E0" w:rsidP="00391317">
      <w:pPr>
        <w:rPr>
          <w:rFonts w:eastAsiaTheme="minorEastAsia"/>
          <w:lang w:val="da-DK"/>
        </w:rPr>
      </w:pPr>
    </w:p>
    <w:p w14:paraId="1530BC68" w14:textId="755F1B18" w:rsidR="002B54E0" w:rsidRDefault="002B54E0" w:rsidP="002B54E0">
      <w:pPr>
        <w:spacing w:line="360" w:lineRule="auto"/>
        <w:rPr>
          <w:rFonts w:eastAsiaTheme="minorEastAsia"/>
          <w:lang w:val="da-DK"/>
        </w:rPr>
      </w:pPr>
      <w:r>
        <w:rPr>
          <w:rFonts w:eastAsiaTheme="minorEastAsia"/>
          <w:b/>
          <w:bCs/>
          <w:lang w:val="da-DK"/>
        </w:rPr>
        <w:t>2.4</w:t>
      </w:r>
    </w:p>
    <w:p w14:paraId="5C9F6526" w14:textId="2D1D48B8" w:rsidR="002B54E0" w:rsidRDefault="00247E82" w:rsidP="00247E82">
      <w:pPr>
        <w:rPr>
          <w:rFonts w:eastAsiaTheme="minorEastAsia"/>
          <w:lang w:val="da-DK"/>
        </w:rPr>
      </w:pPr>
      <w:r>
        <w:rPr>
          <w:rFonts w:eastAsiaTheme="minorEastAsia"/>
          <w:lang w:val="da-DK"/>
        </w:rPr>
        <w:t xml:space="preserve">Ved en stigning på 1% fra andet år og frem bliver kapitalværdien </w:t>
      </w:r>
      <m:oMath>
        <m:r>
          <w:rPr>
            <w:rFonts w:ascii="Cambria Math" w:eastAsiaTheme="minorEastAsia" w:hAnsi="Cambria Math"/>
            <w:lang w:val="da-DK"/>
          </w:rPr>
          <m:t>1.876.169,32 DKK</m:t>
        </m:r>
      </m:oMath>
      <w:r>
        <w:rPr>
          <w:rFonts w:eastAsiaTheme="minorEastAsia"/>
          <w:lang w:val="da-DK"/>
        </w:rPr>
        <w:t>.</w:t>
      </w:r>
    </w:p>
    <w:p w14:paraId="3DCAD386" w14:textId="15E222AB" w:rsidR="00247E82" w:rsidRDefault="00247E82" w:rsidP="00247E82">
      <w:pPr>
        <w:rPr>
          <w:rFonts w:eastAsiaTheme="minorEastAsia"/>
          <w:lang w:val="da-DK"/>
        </w:rPr>
      </w:pPr>
      <w:r>
        <w:rPr>
          <w:rFonts w:eastAsiaTheme="minorEastAsia"/>
          <w:lang w:val="da-DK"/>
        </w:rPr>
        <w:t xml:space="preserve">Stigningen, der giver en kapitalværdi lig 0, er 6,3%. Derfor burde vækst i materialeforbruget ikke have den store indflydelse på </w:t>
      </w:r>
      <w:proofErr w:type="spellStart"/>
      <w:r>
        <w:rPr>
          <w:rFonts w:eastAsiaTheme="minorEastAsia"/>
          <w:lang w:val="da-DK"/>
        </w:rPr>
        <w:t>profibaliteten</w:t>
      </w:r>
      <w:proofErr w:type="spellEnd"/>
      <w:r>
        <w:rPr>
          <w:rFonts w:eastAsiaTheme="minorEastAsia"/>
          <w:lang w:val="da-DK"/>
        </w:rPr>
        <w:t xml:space="preserve">. </w:t>
      </w:r>
    </w:p>
    <w:p w14:paraId="1F58A6B5" w14:textId="27002427" w:rsidR="00247E82" w:rsidRDefault="00247E82" w:rsidP="00247E82">
      <w:pPr>
        <w:rPr>
          <w:rFonts w:eastAsiaTheme="minorEastAsia"/>
          <w:lang w:val="da-DK"/>
        </w:rPr>
      </w:pPr>
    </w:p>
    <w:p w14:paraId="4B77C110" w14:textId="4022E587" w:rsidR="00247E82" w:rsidRDefault="00C83357" w:rsidP="00247E82">
      <w:pPr>
        <w:rPr>
          <w:rFonts w:eastAsiaTheme="minorEastAsia"/>
          <w:lang w:val="da-DK"/>
        </w:rPr>
      </w:pPr>
      <w:r>
        <w:rPr>
          <w:rFonts w:eastAsiaTheme="minorEastAsia"/>
          <w:b/>
          <w:bCs/>
          <w:lang w:val="da-DK"/>
        </w:rPr>
        <w:t>3.1</w:t>
      </w:r>
    </w:p>
    <w:p w14:paraId="15CC4E80" w14:textId="77777777" w:rsidR="00C83357" w:rsidRPr="00C83357" w:rsidRDefault="00C83357" w:rsidP="00247E82">
      <w:pPr>
        <w:rPr>
          <w:rFonts w:eastAsiaTheme="minorEastAsia"/>
          <w:lang w:val="da-DK"/>
        </w:rPr>
      </w:pPr>
    </w:p>
    <w:p w14:paraId="1416100B" w14:textId="2D722919" w:rsidR="00247E82" w:rsidRDefault="00247E82" w:rsidP="00247E82">
      <w:pPr>
        <w:rPr>
          <w:rFonts w:eastAsiaTheme="minorEastAsia"/>
          <w:lang w:val="da-DK"/>
        </w:rPr>
      </w:pPr>
    </w:p>
    <w:p w14:paraId="0F9F7947" w14:textId="238E36E1" w:rsidR="00247E82" w:rsidRDefault="0036205D" w:rsidP="002B54E0">
      <w:pPr>
        <w:spacing w:line="360" w:lineRule="auto"/>
        <w:rPr>
          <w:rFonts w:eastAsiaTheme="minorEastAsia"/>
          <w:lang w:val="da-DK"/>
        </w:rPr>
      </w:pPr>
      <w:r>
        <w:rPr>
          <w:rFonts w:eastAsiaTheme="minorEastAsia"/>
          <w:noProof/>
          <w:lang w:val="da-DK"/>
        </w:rPr>
        <w:drawing>
          <wp:anchor distT="0" distB="0" distL="114300" distR="114300" simplePos="0" relativeHeight="251658240" behindDoc="0" locked="0" layoutInCell="1" allowOverlap="1" wp14:anchorId="1073E464" wp14:editId="0E6AA38D">
            <wp:simplePos x="0" y="0"/>
            <wp:positionH relativeFrom="column">
              <wp:posOffset>3238500</wp:posOffset>
            </wp:positionH>
            <wp:positionV relativeFrom="paragraph">
              <wp:posOffset>1561465</wp:posOffset>
            </wp:positionV>
            <wp:extent cx="2184400" cy="774700"/>
            <wp:effectExtent l="0" t="0" r="0" b="0"/>
            <wp:wrapSquare wrapText="bothSides"/>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84400" cy="774700"/>
                    </a:xfrm>
                    <a:prstGeom prst="rect">
                      <a:avLst/>
                    </a:prstGeom>
                  </pic:spPr>
                </pic:pic>
              </a:graphicData>
            </a:graphic>
            <wp14:sizeRelH relativeFrom="page">
              <wp14:pctWidth>0</wp14:pctWidth>
            </wp14:sizeRelH>
            <wp14:sizeRelV relativeFrom="page">
              <wp14:pctHeight>0</wp14:pctHeight>
            </wp14:sizeRelV>
          </wp:anchor>
        </w:drawing>
      </w:r>
      <w:r w:rsidR="00557648">
        <w:rPr>
          <w:rFonts w:eastAsiaTheme="minorEastAsia"/>
          <w:noProof/>
          <w:lang w:val="da-DK"/>
        </w:rPr>
        <w:drawing>
          <wp:inline distT="0" distB="0" distL="0" distR="0" wp14:anchorId="37D244FB" wp14:editId="5CD15FB1">
            <wp:extent cx="2374900" cy="3092423"/>
            <wp:effectExtent l="0" t="0" r="0" b="0"/>
            <wp:docPr id="4" name="Picture 4"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receip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75945" cy="3093783"/>
                    </a:xfrm>
                    <a:prstGeom prst="rect">
                      <a:avLst/>
                    </a:prstGeom>
                  </pic:spPr>
                </pic:pic>
              </a:graphicData>
            </a:graphic>
          </wp:inline>
        </w:drawing>
      </w:r>
    </w:p>
    <w:p w14:paraId="026584D5" w14:textId="6D979239" w:rsidR="00557648" w:rsidRDefault="00557648" w:rsidP="002B54E0">
      <w:pPr>
        <w:spacing w:line="360" w:lineRule="auto"/>
        <w:rPr>
          <w:rFonts w:eastAsiaTheme="minorEastAsia"/>
          <w:lang w:val="da-DK"/>
        </w:rPr>
      </w:pPr>
      <w:r>
        <w:rPr>
          <w:rFonts w:eastAsiaTheme="minorEastAsia"/>
          <w:lang w:val="da-DK"/>
        </w:rPr>
        <w:lastRenderedPageBreak/>
        <w:t xml:space="preserve">Balancen ser ud som følgende efter følgeende posteringer. </w:t>
      </w:r>
    </w:p>
    <w:p w14:paraId="6AD17E5B" w14:textId="161D0319" w:rsidR="00557648" w:rsidRDefault="00557648" w:rsidP="00557648">
      <w:pPr>
        <w:pStyle w:val="ListParagraph"/>
        <w:numPr>
          <w:ilvl w:val="0"/>
          <w:numId w:val="1"/>
        </w:numPr>
        <w:spacing w:line="360" w:lineRule="auto"/>
        <w:rPr>
          <w:rFonts w:eastAsiaTheme="minorEastAsia"/>
          <w:lang w:val="da-DK"/>
        </w:rPr>
      </w:pPr>
      <w:r>
        <w:rPr>
          <w:rFonts w:eastAsiaTheme="minorEastAsia"/>
          <w:lang w:val="da-DK"/>
        </w:rPr>
        <w:t xml:space="preserve">Egenkapital krediteres, og kontanter debiteres med 20 </w:t>
      </w:r>
    </w:p>
    <w:p w14:paraId="720C9864" w14:textId="765DC568" w:rsidR="00557648" w:rsidRDefault="00557648" w:rsidP="00557648">
      <w:pPr>
        <w:pStyle w:val="ListParagraph"/>
        <w:numPr>
          <w:ilvl w:val="0"/>
          <w:numId w:val="1"/>
        </w:numPr>
        <w:spacing w:line="360" w:lineRule="auto"/>
        <w:rPr>
          <w:rFonts w:eastAsiaTheme="minorEastAsia"/>
          <w:lang w:val="da-DK"/>
        </w:rPr>
      </w:pPr>
      <w:proofErr w:type="spellStart"/>
      <w:r>
        <w:rPr>
          <w:rFonts w:eastAsiaTheme="minorEastAsia"/>
          <w:lang w:val="da-DK"/>
        </w:rPr>
        <w:t>Langfristetgæld</w:t>
      </w:r>
      <w:proofErr w:type="spellEnd"/>
      <w:r>
        <w:rPr>
          <w:rFonts w:eastAsiaTheme="minorEastAsia"/>
          <w:lang w:val="da-DK"/>
        </w:rPr>
        <w:t xml:space="preserve"> krediteres, og kontanter debiteres med 30 </w:t>
      </w:r>
    </w:p>
    <w:p w14:paraId="066B1395" w14:textId="4553795D" w:rsidR="00557648" w:rsidRDefault="00557648" w:rsidP="00557648">
      <w:pPr>
        <w:pStyle w:val="ListParagraph"/>
        <w:numPr>
          <w:ilvl w:val="0"/>
          <w:numId w:val="1"/>
        </w:numPr>
        <w:spacing w:line="360" w:lineRule="auto"/>
        <w:rPr>
          <w:rFonts w:eastAsiaTheme="minorEastAsia"/>
          <w:lang w:val="da-DK"/>
        </w:rPr>
      </w:pPr>
      <w:r>
        <w:rPr>
          <w:rFonts w:eastAsiaTheme="minorEastAsia"/>
          <w:lang w:val="da-DK"/>
        </w:rPr>
        <w:t xml:space="preserve">Tilgodehavende krediteres, og kontanter debiteres med 10 </w:t>
      </w:r>
    </w:p>
    <w:p w14:paraId="22ECD9E3" w14:textId="3AF0B748" w:rsidR="00557648" w:rsidRDefault="00557648" w:rsidP="00557648">
      <w:pPr>
        <w:pStyle w:val="ListParagraph"/>
        <w:numPr>
          <w:ilvl w:val="0"/>
          <w:numId w:val="1"/>
        </w:numPr>
        <w:spacing w:line="360" w:lineRule="auto"/>
        <w:rPr>
          <w:rFonts w:eastAsiaTheme="minorEastAsia"/>
          <w:lang w:val="da-DK"/>
        </w:rPr>
      </w:pPr>
      <w:r>
        <w:rPr>
          <w:rFonts w:eastAsiaTheme="minorEastAsia"/>
          <w:lang w:val="da-DK"/>
        </w:rPr>
        <w:t>Kontanter krediteres, og anlæg debiteres med 30</w:t>
      </w:r>
    </w:p>
    <w:p w14:paraId="3FB41841" w14:textId="02799248" w:rsidR="00557648" w:rsidRDefault="00557648" w:rsidP="00557648">
      <w:pPr>
        <w:pStyle w:val="ListParagraph"/>
        <w:numPr>
          <w:ilvl w:val="0"/>
          <w:numId w:val="1"/>
        </w:numPr>
        <w:spacing w:line="360" w:lineRule="auto"/>
        <w:rPr>
          <w:rFonts w:eastAsiaTheme="minorEastAsia"/>
          <w:lang w:val="da-DK"/>
        </w:rPr>
      </w:pPr>
      <w:r>
        <w:rPr>
          <w:rFonts w:eastAsiaTheme="minorEastAsia"/>
          <w:lang w:val="da-DK"/>
        </w:rPr>
        <w:t>Varelager krediteres med 20, og omkostninger debiteres med 20. Indtægter krediteres med 30, og kontanter debiteres tilsvarende</w:t>
      </w:r>
    </w:p>
    <w:p w14:paraId="0CED8670" w14:textId="128EED7F" w:rsidR="00557648" w:rsidRDefault="00557648" w:rsidP="00557648">
      <w:pPr>
        <w:pStyle w:val="ListParagraph"/>
        <w:numPr>
          <w:ilvl w:val="0"/>
          <w:numId w:val="1"/>
        </w:numPr>
        <w:spacing w:line="360" w:lineRule="auto"/>
        <w:rPr>
          <w:rFonts w:eastAsiaTheme="minorEastAsia"/>
          <w:lang w:val="da-DK"/>
        </w:rPr>
      </w:pPr>
      <w:r>
        <w:rPr>
          <w:rFonts w:eastAsiaTheme="minorEastAsia"/>
          <w:lang w:val="da-DK"/>
        </w:rPr>
        <w:t xml:space="preserve">Kontanter krediteres, og omkostninger debiteres med </w:t>
      </w:r>
      <w:r w:rsidR="0036205D">
        <w:rPr>
          <w:rFonts w:eastAsiaTheme="minorEastAsia"/>
          <w:lang w:val="da-DK"/>
        </w:rPr>
        <w:t>10</w:t>
      </w:r>
    </w:p>
    <w:p w14:paraId="1039DA1F" w14:textId="5CB56863" w:rsidR="0036205D" w:rsidRDefault="0036205D" w:rsidP="00557648">
      <w:pPr>
        <w:pStyle w:val="ListParagraph"/>
        <w:numPr>
          <w:ilvl w:val="0"/>
          <w:numId w:val="1"/>
        </w:numPr>
        <w:spacing w:line="360" w:lineRule="auto"/>
        <w:rPr>
          <w:rFonts w:eastAsiaTheme="minorEastAsia"/>
          <w:lang w:val="da-DK"/>
        </w:rPr>
      </w:pPr>
      <w:r>
        <w:rPr>
          <w:rFonts w:eastAsiaTheme="minorEastAsia"/>
          <w:lang w:val="da-DK"/>
        </w:rPr>
        <w:t xml:space="preserve">Leverandørgæld debiteres, og kontanter krediteres med 10 </w:t>
      </w:r>
    </w:p>
    <w:p w14:paraId="36727A5A" w14:textId="3D1FA09D" w:rsidR="0036205D" w:rsidRDefault="0036205D" w:rsidP="0036205D">
      <w:pPr>
        <w:spacing w:line="360" w:lineRule="auto"/>
        <w:rPr>
          <w:rFonts w:eastAsiaTheme="minorEastAsia"/>
          <w:lang w:val="da-DK"/>
        </w:rPr>
      </w:pPr>
    </w:p>
    <w:p w14:paraId="0BA6CECC" w14:textId="77777777" w:rsidR="0036205D" w:rsidRDefault="0036205D" w:rsidP="0036205D">
      <w:pPr>
        <w:spacing w:line="360" w:lineRule="auto"/>
        <w:rPr>
          <w:rFonts w:eastAsiaTheme="minorEastAsia"/>
          <w:b/>
          <w:bCs/>
          <w:lang w:val="da-DK"/>
        </w:rPr>
      </w:pPr>
      <w:r>
        <w:rPr>
          <w:rFonts w:eastAsiaTheme="minorEastAsia"/>
          <w:b/>
          <w:bCs/>
          <w:lang w:val="da-DK"/>
        </w:rPr>
        <w:t xml:space="preserve">3.2 </w:t>
      </w:r>
    </w:p>
    <w:p w14:paraId="78117118" w14:textId="77777777" w:rsidR="0036205D" w:rsidRDefault="0036205D" w:rsidP="0036205D">
      <w:pPr>
        <w:spacing w:line="360" w:lineRule="auto"/>
        <w:rPr>
          <w:rFonts w:eastAsiaTheme="minorEastAsia"/>
          <w:b/>
          <w:bCs/>
          <w:lang w:val="da-DK"/>
        </w:rPr>
      </w:pPr>
      <w:r>
        <w:rPr>
          <w:rFonts w:eastAsiaTheme="minorEastAsia"/>
          <w:lang w:val="da-DK"/>
        </w:rPr>
        <w:t xml:space="preserve">8- SKØN bør bogføre dette som et tab. Altså kreditere varelaget, og derved debitere omkostningerne. Dette vil give et udsving på balancen. </w:t>
      </w:r>
    </w:p>
    <w:p w14:paraId="7F960730" w14:textId="473DEAD1" w:rsidR="0036205D" w:rsidRDefault="0036205D" w:rsidP="0036205D">
      <w:pPr>
        <w:spacing w:line="360" w:lineRule="auto"/>
        <w:rPr>
          <w:rFonts w:eastAsiaTheme="minorEastAsia"/>
          <w:lang w:val="da-DK"/>
        </w:rPr>
      </w:pPr>
      <w:r>
        <w:rPr>
          <w:rFonts w:eastAsiaTheme="minorEastAsia"/>
          <w:lang w:val="da-DK"/>
        </w:rPr>
        <w:t xml:space="preserve">9) SKØN bør debitere omkostninger med 20% af anlæggene fra før opgørelsen. Altså </w:t>
      </w:r>
      <w:r w:rsidR="00EB24FE">
        <w:rPr>
          <w:rFonts w:eastAsiaTheme="minorEastAsia"/>
          <w:lang w:val="da-DK"/>
        </w:rPr>
        <w:t>1</w:t>
      </w:r>
      <w:r>
        <w:rPr>
          <w:rFonts w:eastAsiaTheme="minorEastAsia"/>
          <w:lang w:val="da-DK"/>
        </w:rPr>
        <w:t xml:space="preserve">0. Samt kreditere anlæggene med </w:t>
      </w:r>
      <w:r w:rsidR="00EB24FE">
        <w:rPr>
          <w:rFonts w:eastAsiaTheme="minorEastAsia"/>
          <w:lang w:val="da-DK"/>
        </w:rPr>
        <w:t>10</w:t>
      </w:r>
      <w:r>
        <w:rPr>
          <w:rFonts w:eastAsiaTheme="minorEastAsia"/>
          <w:lang w:val="da-DK"/>
        </w:rPr>
        <w:t xml:space="preserve"> </w:t>
      </w:r>
    </w:p>
    <w:p w14:paraId="12505AE6" w14:textId="77777777" w:rsidR="0036205D" w:rsidRDefault="0036205D" w:rsidP="0036205D">
      <w:pPr>
        <w:spacing w:line="360" w:lineRule="auto"/>
        <w:rPr>
          <w:rFonts w:eastAsiaTheme="minorEastAsia"/>
          <w:lang w:val="da-DK"/>
        </w:rPr>
      </w:pPr>
      <w:r>
        <w:rPr>
          <w:rFonts w:eastAsiaTheme="minorEastAsia"/>
          <w:lang w:val="da-DK"/>
        </w:rPr>
        <w:t xml:space="preserve">10) Ifølge objektivitetsprincippet bør informationen være pålidelig og dokumenterbar. En persons ord er her ikke nok. </w:t>
      </w:r>
    </w:p>
    <w:p w14:paraId="1AFCE89A" w14:textId="2D663303" w:rsidR="0036205D" w:rsidRDefault="0036205D" w:rsidP="0036205D">
      <w:pPr>
        <w:spacing w:line="360" w:lineRule="auto"/>
        <w:rPr>
          <w:rFonts w:eastAsiaTheme="minorEastAsia"/>
          <w:lang w:val="da-DK"/>
        </w:rPr>
      </w:pPr>
      <w:r>
        <w:rPr>
          <w:rFonts w:eastAsiaTheme="minorEastAsia"/>
          <w:lang w:val="da-DK"/>
        </w:rPr>
        <w:t xml:space="preserve">11) Ved en kursgevinst bør </w:t>
      </w:r>
      <w:r w:rsidR="00EB24FE">
        <w:rPr>
          <w:rFonts w:eastAsiaTheme="minorEastAsia"/>
          <w:lang w:val="da-DK"/>
        </w:rPr>
        <w:t>indtægter</w:t>
      </w:r>
      <w:r>
        <w:rPr>
          <w:rFonts w:eastAsiaTheme="minorEastAsia"/>
          <w:lang w:val="da-DK"/>
        </w:rPr>
        <w:t xml:space="preserve"> debiteres, mens </w:t>
      </w:r>
      <w:r w:rsidR="00EB24FE">
        <w:rPr>
          <w:rFonts w:eastAsiaTheme="minorEastAsia"/>
          <w:lang w:val="da-DK"/>
        </w:rPr>
        <w:t xml:space="preserve">langfristet gæld bør debiteres.  </w:t>
      </w:r>
    </w:p>
    <w:p w14:paraId="170CB9E8" w14:textId="0D480D45" w:rsidR="002912B9" w:rsidRDefault="002912B9" w:rsidP="0036205D">
      <w:pPr>
        <w:spacing w:line="360" w:lineRule="auto"/>
        <w:rPr>
          <w:rFonts w:eastAsiaTheme="minorEastAsia"/>
          <w:lang w:val="da-DK"/>
        </w:rPr>
      </w:pPr>
      <w:r>
        <w:rPr>
          <w:rFonts w:eastAsiaTheme="minorEastAsia"/>
          <w:b/>
          <w:bCs/>
          <w:lang w:val="da-DK"/>
        </w:rPr>
        <w:t>3.3</w:t>
      </w:r>
    </w:p>
    <w:p w14:paraId="5751D732" w14:textId="35263D5C" w:rsidR="002912B9" w:rsidRDefault="002912B9" w:rsidP="0036205D">
      <w:pPr>
        <w:spacing w:line="360" w:lineRule="auto"/>
        <w:rPr>
          <w:rFonts w:eastAsiaTheme="minorEastAsia"/>
          <w:lang w:val="da-DK"/>
        </w:rPr>
      </w:pPr>
      <w:r>
        <w:rPr>
          <w:rFonts w:eastAsiaTheme="minorEastAsia"/>
          <w:lang w:val="da-DK"/>
        </w:rPr>
        <w:t xml:space="preserve">Derfor ser balancen og resultatopgørelse ud på følgende måde. </w:t>
      </w:r>
    </w:p>
    <w:p w14:paraId="5C572E9F" w14:textId="27EE29B5" w:rsidR="00EB24FE" w:rsidRPr="0036205D" w:rsidRDefault="00EB24FE" w:rsidP="0036205D">
      <w:pPr>
        <w:spacing w:line="360" w:lineRule="auto"/>
        <w:rPr>
          <w:rFonts w:eastAsiaTheme="minorEastAsia"/>
          <w:b/>
          <w:bCs/>
          <w:lang w:val="da-DK"/>
        </w:rPr>
      </w:pPr>
      <w:r>
        <w:rPr>
          <w:rFonts w:eastAsiaTheme="minorEastAsia"/>
          <w:b/>
          <w:bCs/>
          <w:noProof/>
          <w:lang w:val="da-DK"/>
        </w:rPr>
        <w:drawing>
          <wp:anchor distT="0" distB="0" distL="114300" distR="114300" simplePos="0" relativeHeight="251659264" behindDoc="0" locked="0" layoutInCell="1" allowOverlap="1" wp14:anchorId="5ABF3A68" wp14:editId="15A612D4">
            <wp:simplePos x="0" y="0"/>
            <wp:positionH relativeFrom="column">
              <wp:posOffset>4013200</wp:posOffset>
            </wp:positionH>
            <wp:positionV relativeFrom="paragraph">
              <wp:posOffset>1088390</wp:posOffset>
            </wp:positionV>
            <wp:extent cx="1790700" cy="657225"/>
            <wp:effectExtent l="0" t="0" r="0" b="3175"/>
            <wp:wrapSquare wrapText="bothSides"/>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790700" cy="657225"/>
                    </a:xfrm>
                    <a:prstGeom prst="rect">
                      <a:avLst/>
                    </a:prstGeom>
                  </pic:spPr>
                </pic:pic>
              </a:graphicData>
            </a:graphic>
            <wp14:sizeRelH relativeFrom="page">
              <wp14:pctWidth>0</wp14:pctWidth>
            </wp14:sizeRelH>
            <wp14:sizeRelV relativeFrom="page">
              <wp14:pctHeight>0</wp14:pctHeight>
            </wp14:sizeRelV>
          </wp:anchor>
        </w:drawing>
      </w:r>
    </w:p>
    <w:p w14:paraId="6877FE3D" w14:textId="7CF714A4" w:rsidR="0036205D" w:rsidRDefault="002912B9" w:rsidP="0036205D">
      <w:pPr>
        <w:spacing w:line="360" w:lineRule="auto"/>
        <w:rPr>
          <w:rFonts w:eastAsiaTheme="minorEastAsia"/>
          <w:lang w:val="da-DK"/>
        </w:rPr>
      </w:pPr>
      <w:r>
        <w:rPr>
          <w:rFonts w:eastAsiaTheme="minorEastAsia"/>
          <w:noProof/>
          <w:lang w:val="da-DK"/>
        </w:rPr>
        <w:drawing>
          <wp:inline distT="0" distB="0" distL="0" distR="0" wp14:anchorId="5F22DB65" wp14:editId="23E40095">
            <wp:extent cx="2401904" cy="2920960"/>
            <wp:effectExtent l="0" t="0" r="0" b="635"/>
            <wp:docPr id="10" name="Picture 10"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receip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14494" cy="2936270"/>
                    </a:xfrm>
                    <a:prstGeom prst="rect">
                      <a:avLst/>
                    </a:prstGeom>
                  </pic:spPr>
                </pic:pic>
              </a:graphicData>
            </a:graphic>
          </wp:inline>
        </w:drawing>
      </w:r>
    </w:p>
    <w:p w14:paraId="0B90FCEA" w14:textId="014CCB26" w:rsidR="002912B9" w:rsidRDefault="002912B9" w:rsidP="0036205D">
      <w:pPr>
        <w:spacing w:line="360" w:lineRule="auto"/>
        <w:rPr>
          <w:rFonts w:eastAsiaTheme="minorEastAsia"/>
          <w:b/>
          <w:bCs/>
          <w:lang w:val="da-DK"/>
        </w:rPr>
      </w:pPr>
      <w:r>
        <w:rPr>
          <w:rFonts w:eastAsiaTheme="minorEastAsia"/>
          <w:b/>
          <w:bCs/>
          <w:lang w:val="da-DK"/>
        </w:rPr>
        <w:lastRenderedPageBreak/>
        <w:t>3.4</w:t>
      </w:r>
    </w:p>
    <w:p w14:paraId="160B1496" w14:textId="77777777" w:rsidR="00546585" w:rsidRDefault="00546585" w:rsidP="0036205D">
      <w:pPr>
        <w:spacing w:line="360" w:lineRule="auto"/>
        <w:rPr>
          <w:rFonts w:eastAsiaTheme="minorEastAsia"/>
          <w:lang w:val="da-DK"/>
        </w:rPr>
      </w:pPr>
      <w:proofErr w:type="spellStart"/>
      <w:r>
        <w:rPr>
          <w:rFonts w:eastAsiaTheme="minorEastAsia"/>
          <w:lang w:val="da-DK"/>
        </w:rPr>
        <w:t>Jf</w:t>
      </w:r>
      <w:proofErr w:type="spellEnd"/>
      <w:r>
        <w:rPr>
          <w:rFonts w:eastAsiaTheme="minorEastAsia"/>
          <w:lang w:val="da-DK"/>
        </w:rPr>
        <w:t xml:space="preserve"> </w:t>
      </w:r>
      <w:proofErr w:type="spellStart"/>
      <w:r>
        <w:rPr>
          <w:rFonts w:eastAsiaTheme="minorEastAsia"/>
          <w:lang w:val="da-DK"/>
        </w:rPr>
        <w:t>egenkapitalsmetoden</w:t>
      </w:r>
      <w:proofErr w:type="spellEnd"/>
      <w:r>
        <w:rPr>
          <w:rFonts w:eastAsiaTheme="minorEastAsia"/>
          <w:lang w:val="da-DK"/>
        </w:rPr>
        <w:t xml:space="preserve"> stiger de finansielle aktiver med 30, og posten goodwill stiger med 20. Når resultatet realiseres fra SMUK, vil posten finansielle aktiver stige til 35, og egenkapitalen stiger med tilsvarende, da dette indgår som indtægt. </w:t>
      </w:r>
    </w:p>
    <w:p w14:paraId="1BC43EBD" w14:textId="77777777" w:rsidR="00546585" w:rsidRDefault="00546585" w:rsidP="0036205D">
      <w:pPr>
        <w:spacing w:line="360" w:lineRule="auto"/>
        <w:rPr>
          <w:rFonts w:eastAsiaTheme="minorEastAsia"/>
          <w:lang w:val="da-DK"/>
        </w:rPr>
      </w:pPr>
    </w:p>
    <w:p w14:paraId="419DB3AD" w14:textId="0E44B3F8" w:rsidR="002912B9" w:rsidRPr="00F656E4" w:rsidRDefault="00546585" w:rsidP="0036205D">
      <w:pPr>
        <w:spacing w:line="360" w:lineRule="auto"/>
        <w:rPr>
          <w:rFonts w:eastAsiaTheme="minorEastAsia"/>
          <w:b/>
          <w:bCs/>
          <w:lang w:val="da-DK"/>
        </w:rPr>
      </w:pPr>
      <w:r>
        <w:rPr>
          <w:rFonts w:eastAsiaTheme="minorEastAsia"/>
          <w:b/>
          <w:bCs/>
          <w:lang w:val="da-DK"/>
        </w:rPr>
        <w:t xml:space="preserve">4.1 </w:t>
      </w:r>
    </w:p>
    <w:p w14:paraId="74442E9C" w14:textId="7CB8FBDE" w:rsidR="002912B9" w:rsidRDefault="00F656E4" w:rsidP="0036205D">
      <w:pPr>
        <w:spacing w:line="360" w:lineRule="auto"/>
        <w:rPr>
          <w:rFonts w:eastAsiaTheme="minorEastAsia"/>
          <w:lang w:val="da-DK"/>
        </w:rPr>
      </w:pPr>
      <w:r>
        <w:rPr>
          <w:rFonts w:eastAsiaTheme="minorEastAsia"/>
          <w:noProof/>
          <w:lang w:val="da-DK"/>
        </w:rPr>
        <w:drawing>
          <wp:inline distT="0" distB="0" distL="0" distR="0" wp14:anchorId="2CFED8EF" wp14:editId="55B9AFC6">
            <wp:extent cx="4991100" cy="355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4991100" cy="355600"/>
                    </a:xfrm>
                    <a:prstGeom prst="rect">
                      <a:avLst/>
                    </a:prstGeom>
                  </pic:spPr>
                </pic:pic>
              </a:graphicData>
            </a:graphic>
          </wp:inline>
        </w:drawing>
      </w:r>
    </w:p>
    <w:p w14:paraId="5FA37E7D" w14:textId="7B0A8249" w:rsidR="00F656E4" w:rsidRDefault="00F656E4" w:rsidP="0036205D">
      <w:pPr>
        <w:spacing w:line="360" w:lineRule="auto"/>
        <w:rPr>
          <w:rFonts w:eastAsiaTheme="minorEastAsia"/>
          <w:lang w:val="da-DK"/>
        </w:rPr>
      </w:pPr>
      <w:r>
        <w:rPr>
          <w:rFonts w:eastAsiaTheme="minorEastAsia"/>
          <w:lang w:val="da-DK"/>
        </w:rPr>
        <w:t xml:space="preserve">Ved at investere 10.000 i starten af perioden, og geninvestere alle dividender fås følgende afkast for hhv. BP og RP. </w:t>
      </w:r>
    </w:p>
    <w:p w14:paraId="0BE65450" w14:textId="151F8498" w:rsidR="00F656E4" w:rsidRDefault="00F656E4" w:rsidP="0036205D">
      <w:pPr>
        <w:spacing w:line="360" w:lineRule="auto"/>
        <w:rPr>
          <w:rFonts w:eastAsiaTheme="minorEastAsia"/>
          <w:lang w:val="da-DK"/>
        </w:rPr>
      </w:pPr>
      <w:r>
        <w:rPr>
          <w:rFonts w:eastAsiaTheme="minorEastAsia"/>
          <w:lang w:val="da-DK"/>
        </w:rPr>
        <w:t xml:space="preserve">Dette findes ved at finde TR vha. </w:t>
      </w:r>
      <m:oMath>
        <m:f>
          <m:fPr>
            <m:ctrlPr>
              <w:rPr>
                <w:rFonts w:ascii="Cambria Math" w:eastAsiaTheme="minorEastAsia" w:hAnsi="Cambria Math"/>
                <w:i/>
                <w:lang w:val="da-DK"/>
              </w:rPr>
            </m:ctrlPr>
          </m:fPr>
          <m:num>
            <m:r>
              <w:rPr>
                <w:rFonts w:ascii="Cambria Math" w:eastAsiaTheme="minorEastAsia" w:hAnsi="Cambria Math"/>
                <w:lang w:val="da-DK"/>
              </w:rPr>
              <m:t>Kur</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t</m:t>
                </m:r>
              </m:sub>
            </m:sSub>
            <m:r>
              <w:rPr>
                <w:rFonts w:ascii="Cambria Math" w:eastAsiaTheme="minorEastAsia" w:hAnsi="Cambria Math"/>
                <w:lang w:val="da-DK"/>
              </w:rPr>
              <m:t>-kur</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0</m:t>
                </m:r>
              </m:sub>
            </m:sSub>
            <m:r>
              <w:rPr>
                <w:rFonts w:ascii="Cambria Math" w:eastAsiaTheme="minorEastAsia" w:hAnsi="Cambria Math"/>
                <w:lang w:val="da-DK"/>
              </w:rPr>
              <m:t>+dividender</m:t>
            </m:r>
          </m:num>
          <m:den>
            <m:r>
              <w:rPr>
                <w:rFonts w:ascii="Cambria Math" w:eastAsiaTheme="minorEastAsia" w:hAnsi="Cambria Math"/>
                <w:lang w:val="da-DK"/>
              </w:rPr>
              <m:t>Kur</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0</m:t>
                </m:r>
              </m:sub>
            </m:sSub>
          </m:den>
        </m:f>
      </m:oMath>
    </w:p>
    <w:p w14:paraId="752E6BFF" w14:textId="0DD898F0" w:rsidR="00F656E4" w:rsidRDefault="00F656E4" w:rsidP="0036205D">
      <w:pPr>
        <w:spacing w:line="360" w:lineRule="auto"/>
        <w:rPr>
          <w:rFonts w:eastAsiaTheme="minorEastAsia"/>
          <w:lang w:val="da-DK"/>
        </w:rPr>
      </w:pPr>
      <w:r>
        <w:rPr>
          <w:rFonts w:eastAsiaTheme="minorEastAsia"/>
          <w:lang w:val="da-DK"/>
        </w:rPr>
        <w:t xml:space="preserve">Herefter findes RR vha. </w:t>
      </w:r>
      <m:oMath>
        <m:r>
          <w:rPr>
            <w:rFonts w:ascii="Cambria Math" w:eastAsiaTheme="minorEastAsia" w:hAnsi="Cambria Math"/>
            <w:lang w:val="da-DK"/>
          </w:rPr>
          <m:t>RR=TR+1</m:t>
        </m:r>
      </m:oMath>
    </w:p>
    <w:p w14:paraId="496FEE0D" w14:textId="15A599D6" w:rsidR="00F656E4" w:rsidRDefault="00F656E4" w:rsidP="0036205D">
      <w:pPr>
        <w:spacing w:line="360" w:lineRule="auto"/>
        <w:rPr>
          <w:rFonts w:eastAsiaTheme="minorEastAsia"/>
          <w:lang w:val="da-DK"/>
        </w:rPr>
      </w:pPr>
      <w:r>
        <w:rPr>
          <w:rFonts w:eastAsiaTheme="minorEastAsia"/>
          <w:lang w:val="da-DK"/>
        </w:rPr>
        <w:t xml:space="preserve">Når det relative afkast er fundet, kan disse værdier ganges sammen. Dette giver 2,9 og 3,69 for hhv. BP og RP. </w:t>
      </w:r>
    </w:p>
    <w:p w14:paraId="4B2FDE3A" w14:textId="095FB333" w:rsidR="00F656E4" w:rsidRDefault="00F656E4" w:rsidP="0036205D">
      <w:pPr>
        <w:spacing w:line="360" w:lineRule="auto"/>
        <w:rPr>
          <w:rFonts w:eastAsiaTheme="minorEastAsia"/>
          <w:lang w:val="da-DK"/>
        </w:rPr>
      </w:pPr>
    </w:p>
    <w:p w14:paraId="376A533D" w14:textId="12613096" w:rsidR="00F656E4" w:rsidRDefault="00F656E4" w:rsidP="0036205D">
      <w:pPr>
        <w:spacing w:line="360" w:lineRule="auto"/>
        <w:rPr>
          <w:rFonts w:eastAsiaTheme="minorEastAsia"/>
          <w:lang w:val="da-DK"/>
        </w:rPr>
      </w:pPr>
      <w:r>
        <w:rPr>
          <w:rFonts w:eastAsiaTheme="minorEastAsia"/>
          <w:b/>
          <w:bCs/>
          <w:lang w:val="da-DK"/>
        </w:rPr>
        <w:t>4.2</w:t>
      </w:r>
    </w:p>
    <w:p w14:paraId="35919C9F" w14:textId="78F3F79D" w:rsidR="00F656E4" w:rsidRDefault="00F656E4" w:rsidP="0036205D">
      <w:pPr>
        <w:spacing w:line="360" w:lineRule="auto"/>
        <w:rPr>
          <w:rFonts w:eastAsiaTheme="minorEastAsia"/>
          <w:lang w:val="da-DK"/>
        </w:rPr>
      </w:pPr>
      <w:r>
        <w:rPr>
          <w:rFonts w:eastAsiaTheme="minorEastAsia"/>
          <w:lang w:val="da-DK"/>
        </w:rPr>
        <w:t xml:space="preserve">Vha. Af de historiske afkastparametre. Først beregnes det aritmetiske gennemsnit. Variansen er efterfølgende som summen af de kvadratiske afvigelser i forhold til det aritmetiske gennemsnit divideret med antallet af år. Den empiriske standardafvigelse findes ved at </w:t>
      </w:r>
      <w:r w:rsidR="00A676C2">
        <w:rPr>
          <w:rFonts w:eastAsiaTheme="minorEastAsia"/>
          <w:lang w:val="da-DK"/>
        </w:rPr>
        <w:t xml:space="preserve">tage kvadratroden af variansen. </w:t>
      </w:r>
    </w:p>
    <w:p w14:paraId="426F40AA" w14:textId="411092B3" w:rsidR="00A676C2" w:rsidRDefault="00A676C2" w:rsidP="0036205D">
      <w:pPr>
        <w:spacing w:line="360" w:lineRule="auto"/>
        <w:rPr>
          <w:rFonts w:eastAsiaTheme="minorEastAsia"/>
          <w:lang w:val="da-DK"/>
        </w:rPr>
      </w:pPr>
    </w:p>
    <w:p w14:paraId="3168005C" w14:textId="2B494019" w:rsidR="00F656E4" w:rsidRDefault="00A676C2" w:rsidP="0036205D">
      <w:pPr>
        <w:spacing w:line="360" w:lineRule="auto"/>
        <w:rPr>
          <w:rFonts w:eastAsiaTheme="minorEastAsia"/>
          <w:lang w:val="da-DK"/>
        </w:rPr>
      </w:pPr>
      <w:r>
        <w:rPr>
          <w:rFonts w:eastAsiaTheme="minorEastAsia"/>
          <w:lang w:val="da-DK"/>
        </w:rPr>
        <w:t>Følgende værdier er givet for de to virksomheder.</w:t>
      </w:r>
    </w:p>
    <w:p w14:paraId="0261F4B0" w14:textId="38FF0EFD" w:rsidR="00A217B8" w:rsidRDefault="00A217B8" w:rsidP="0036205D">
      <w:pPr>
        <w:spacing w:line="360" w:lineRule="auto"/>
        <w:rPr>
          <w:rFonts w:eastAsiaTheme="minorEastAsia"/>
          <w:lang w:val="da-DK"/>
        </w:rPr>
      </w:pPr>
      <w:r>
        <w:rPr>
          <w:rFonts w:eastAsiaTheme="minorEastAsia"/>
          <w:noProof/>
          <w:lang w:val="da-DK"/>
        </w:rPr>
        <w:drawing>
          <wp:inline distT="0" distB="0" distL="0" distR="0" wp14:anchorId="30600971" wp14:editId="76C2F7C5">
            <wp:extent cx="4991100" cy="1028700"/>
            <wp:effectExtent l="0" t="0" r="0" b="0"/>
            <wp:docPr id="14" name="Picture 1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91100" cy="1028700"/>
                    </a:xfrm>
                    <a:prstGeom prst="rect">
                      <a:avLst/>
                    </a:prstGeom>
                  </pic:spPr>
                </pic:pic>
              </a:graphicData>
            </a:graphic>
          </wp:inline>
        </w:drawing>
      </w:r>
    </w:p>
    <w:p w14:paraId="2BEECE5D" w14:textId="43CB41BD" w:rsidR="001D7161" w:rsidRDefault="001D7161" w:rsidP="0036205D">
      <w:pPr>
        <w:spacing w:line="360" w:lineRule="auto"/>
        <w:rPr>
          <w:rFonts w:eastAsiaTheme="minorEastAsia"/>
          <w:lang w:val="da-DK"/>
        </w:rPr>
      </w:pPr>
      <w:r>
        <w:rPr>
          <w:rFonts w:eastAsiaTheme="minorEastAsia"/>
          <w:lang w:val="da-DK"/>
        </w:rPr>
        <w:t xml:space="preserve">Variansen er et udtryk for risikoen, og kvadreres denne findes standardafvigelsen, som er afvigelsen fra det forventede afkast. Det kan derfor blive større eller mindre. BP-aktien er en mindre standardafvigelse end RP. Denne er dog minimal. </w:t>
      </w:r>
    </w:p>
    <w:p w14:paraId="67A5D39D" w14:textId="5FB413B6" w:rsidR="001D7161" w:rsidRDefault="001D7161" w:rsidP="0036205D">
      <w:pPr>
        <w:spacing w:line="360" w:lineRule="auto"/>
        <w:rPr>
          <w:rFonts w:eastAsiaTheme="minorEastAsia"/>
          <w:lang w:val="da-DK"/>
        </w:rPr>
      </w:pPr>
    </w:p>
    <w:p w14:paraId="1A65199E" w14:textId="3394767A" w:rsidR="001D7161" w:rsidRDefault="001D7161" w:rsidP="0036205D">
      <w:pPr>
        <w:spacing w:line="360" w:lineRule="auto"/>
        <w:rPr>
          <w:rFonts w:eastAsiaTheme="minorEastAsia"/>
          <w:lang w:val="da-DK"/>
        </w:rPr>
      </w:pPr>
    </w:p>
    <w:p w14:paraId="36D17920" w14:textId="271D9442" w:rsidR="001D7161" w:rsidRDefault="001D7161" w:rsidP="0036205D">
      <w:pPr>
        <w:spacing w:line="360" w:lineRule="auto"/>
        <w:rPr>
          <w:rFonts w:eastAsiaTheme="minorEastAsia"/>
          <w:lang w:val="da-DK"/>
        </w:rPr>
      </w:pPr>
    </w:p>
    <w:p w14:paraId="65CFACA1" w14:textId="47060BE9" w:rsidR="001D7161" w:rsidRPr="001D7161" w:rsidRDefault="001D7161" w:rsidP="0036205D">
      <w:pPr>
        <w:spacing w:line="360" w:lineRule="auto"/>
        <w:rPr>
          <w:rFonts w:eastAsiaTheme="minorEastAsia"/>
          <w:b/>
          <w:bCs/>
          <w:lang w:val="da-DK"/>
        </w:rPr>
      </w:pPr>
      <w:r>
        <w:rPr>
          <w:rFonts w:eastAsiaTheme="minorEastAsia"/>
          <w:b/>
          <w:bCs/>
          <w:lang w:val="da-DK"/>
        </w:rPr>
        <w:lastRenderedPageBreak/>
        <w:t>4.3</w:t>
      </w:r>
    </w:p>
    <w:p w14:paraId="343FA799" w14:textId="77777777" w:rsidR="00AE2D0C" w:rsidRDefault="00AE2D0C" w:rsidP="0036205D">
      <w:pPr>
        <w:spacing w:line="360" w:lineRule="auto"/>
        <w:rPr>
          <w:rFonts w:eastAsiaTheme="minorEastAsia"/>
          <w:lang w:val="da-DK"/>
        </w:rPr>
      </w:pPr>
      <w:r>
        <w:rPr>
          <w:rFonts w:eastAsiaTheme="minorEastAsia"/>
          <w:lang w:val="da-DK"/>
        </w:rPr>
        <w:t xml:space="preserve">Variansen for porteføljen er givet ved: </w:t>
      </w:r>
    </w:p>
    <w:p w14:paraId="7F940B36" w14:textId="0B583487" w:rsidR="00AE2D0C" w:rsidRDefault="00AE2D0C" w:rsidP="00AE2D0C">
      <w:pPr>
        <w:rPr>
          <w:rFonts w:eastAsiaTheme="minorEastAsia"/>
          <w:noProof/>
          <w:lang w:val="da-DK"/>
        </w:rPr>
      </w:pPr>
      <m:oMathPara>
        <m:oMath>
          <m:sSup>
            <m:sSupPr>
              <m:ctrlPr>
                <w:rPr>
                  <w:rFonts w:ascii="Cambria Math" w:eastAsiaTheme="minorEastAsia" w:hAnsi="Cambria Math"/>
                  <w:i/>
                  <w:lang w:val="da-DK"/>
                </w:rPr>
              </m:ctrlPr>
            </m:sSupPr>
            <m:e>
              <m:r>
                <w:rPr>
                  <w:rFonts w:ascii="Cambria Math" w:eastAsiaTheme="minorEastAsia" w:hAnsi="Cambria Math"/>
                  <w:lang w:val="da-DK"/>
                </w:rPr>
                <m:t>σ</m:t>
              </m:r>
            </m:e>
            <m:sup>
              <m:r>
                <w:rPr>
                  <w:rFonts w:ascii="Cambria Math" w:eastAsiaTheme="minorEastAsia" w:hAnsi="Cambria Math"/>
                  <w:lang w:val="da-DK"/>
                </w:rPr>
                <m:t>2</m:t>
              </m:r>
            </m:sup>
          </m:sSup>
          <m:r>
            <w:rPr>
              <w:rFonts w:ascii="Cambria Math" w:eastAsiaTheme="minorEastAsia" w:hAnsi="Cambria Math"/>
              <w:lang w:val="da-DK"/>
            </w:rPr>
            <m:t>=</m:t>
          </m:r>
          <m:sSubSup>
            <m:sSubSupPr>
              <m:ctrlPr>
                <w:rPr>
                  <w:rFonts w:ascii="Cambria Math" w:eastAsiaTheme="minorEastAsia" w:hAnsi="Cambria Math"/>
                  <w:i/>
                  <w:lang w:val="da-DK"/>
                </w:rPr>
              </m:ctrlPr>
            </m:sSubSupPr>
            <m:e>
              <m:r>
                <w:rPr>
                  <w:rFonts w:ascii="Cambria Math" w:eastAsiaTheme="minorEastAsia" w:hAnsi="Cambria Math"/>
                  <w:lang w:val="da-DK"/>
                </w:rPr>
                <m:t>W</m:t>
              </m:r>
            </m:e>
            <m:sub>
              <m:r>
                <w:rPr>
                  <w:rFonts w:ascii="Cambria Math" w:eastAsiaTheme="minorEastAsia" w:hAnsi="Cambria Math"/>
                  <w:lang w:val="da-DK"/>
                </w:rPr>
                <m:t>BP</m:t>
              </m:r>
            </m:sub>
            <m:sup>
              <m:r>
                <w:rPr>
                  <w:rFonts w:ascii="Cambria Math" w:eastAsiaTheme="minorEastAsia" w:hAnsi="Cambria Math"/>
                  <w:lang w:val="da-DK"/>
                </w:rPr>
                <m:t>2</m:t>
              </m:r>
            </m:sup>
          </m:sSubSup>
          <m:r>
            <w:rPr>
              <w:rFonts w:ascii="Cambria Math" w:eastAsiaTheme="minorEastAsia" w:hAnsi="Cambria Math"/>
              <w:lang w:val="da-DK"/>
            </w:rPr>
            <m:t>·</m:t>
          </m:r>
          <m:sSubSup>
            <m:sSubSupPr>
              <m:ctrlPr>
                <w:rPr>
                  <w:rFonts w:ascii="Cambria Math" w:eastAsiaTheme="minorEastAsia" w:hAnsi="Cambria Math"/>
                  <w:i/>
                  <w:lang w:val="da-DK"/>
                </w:rPr>
              </m:ctrlPr>
            </m:sSubSupPr>
            <m:e>
              <m:r>
                <w:rPr>
                  <w:rFonts w:ascii="Cambria Math" w:eastAsiaTheme="minorEastAsia" w:hAnsi="Cambria Math"/>
                  <w:lang w:val="da-DK"/>
                </w:rPr>
                <m:t>σ</m:t>
              </m:r>
            </m:e>
            <m:sub>
              <m:r>
                <w:rPr>
                  <w:rFonts w:ascii="Cambria Math" w:eastAsiaTheme="minorEastAsia" w:hAnsi="Cambria Math"/>
                  <w:lang w:val="da-DK"/>
                </w:rPr>
                <m:t>BP</m:t>
              </m:r>
            </m:sub>
            <m:sup>
              <m:r>
                <w:rPr>
                  <w:rFonts w:ascii="Cambria Math" w:eastAsiaTheme="minorEastAsia" w:hAnsi="Cambria Math"/>
                  <w:lang w:val="da-DK"/>
                </w:rPr>
                <m:t>2</m:t>
              </m:r>
            </m:sup>
          </m:sSubSup>
          <m:r>
            <w:rPr>
              <w:rFonts w:ascii="Cambria Math" w:eastAsiaTheme="minorEastAsia" w:hAnsi="Cambria Math"/>
              <w:noProof/>
              <w:lang w:val="da-DK"/>
            </w:rPr>
            <m:t>+</m:t>
          </m:r>
          <m:sSup>
            <m:sSupPr>
              <m:ctrlPr>
                <w:rPr>
                  <w:rFonts w:ascii="Cambria Math" w:eastAsiaTheme="minorEastAsia" w:hAnsi="Cambria Math"/>
                  <w:i/>
                  <w:noProof/>
                  <w:lang w:val="da-DK"/>
                </w:rPr>
              </m:ctrlPr>
            </m:sSupPr>
            <m:e>
              <m:d>
                <m:dPr>
                  <m:ctrlPr>
                    <w:rPr>
                      <w:rFonts w:ascii="Cambria Math" w:eastAsiaTheme="minorEastAsia" w:hAnsi="Cambria Math"/>
                      <w:i/>
                      <w:noProof/>
                      <w:lang w:val="da-DK"/>
                    </w:rPr>
                  </m:ctrlPr>
                </m:dPr>
                <m:e>
                  <m:r>
                    <w:rPr>
                      <w:rFonts w:ascii="Cambria Math" w:eastAsiaTheme="minorEastAsia" w:hAnsi="Cambria Math"/>
                      <w:noProof/>
                      <w:lang w:val="da-DK"/>
                    </w:rPr>
                    <m:t>1-</m:t>
                  </m:r>
                  <m:sSub>
                    <m:sSubPr>
                      <m:ctrlPr>
                        <w:rPr>
                          <w:rFonts w:ascii="Cambria Math" w:eastAsiaTheme="minorEastAsia" w:hAnsi="Cambria Math"/>
                          <w:i/>
                          <w:noProof/>
                          <w:lang w:val="da-DK"/>
                        </w:rPr>
                      </m:ctrlPr>
                    </m:sSubPr>
                    <m:e>
                      <m:r>
                        <w:rPr>
                          <w:rFonts w:ascii="Cambria Math" w:eastAsiaTheme="minorEastAsia" w:hAnsi="Cambria Math"/>
                          <w:noProof/>
                          <w:lang w:val="da-DK"/>
                        </w:rPr>
                        <m:t>W</m:t>
                      </m:r>
                    </m:e>
                    <m:sub>
                      <m:r>
                        <w:rPr>
                          <w:rFonts w:ascii="Cambria Math" w:eastAsiaTheme="minorEastAsia" w:hAnsi="Cambria Math"/>
                          <w:noProof/>
                          <w:lang w:val="da-DK"/>
                        </w:rPr>
                        <m:t>BP</m:t>
                      </m:r>
                    </m:sub>
                  </m:sSub>
                </m:e>
              </m:d>
            </m:e>
            <m:sup>
              <m:r>
                <w:rPr>
                  <w:rFonts w:ascii="Cambria Math" w:eastAsiaTheme="minorEastAsia" w:hAnsi="Cambria Math"/>
                  <w:noProof/>
                  <w:lang w:val="da-DK"/>
                </w:rPr>
                <m:t>2</m:t>
              </m:r>
            </m:sup>
          </m:sSup>
          <m:r>
            <w:rPr>
              <w:rFonts w:ascii="Cambria Math" w:eastAsiaTheme="minorEastAsia" w:hAnsi="Cambria Math"/>
              <w:noProof/>
              <w:lang w:val="da-DK"/>
            </w:rPr>
            <m:t>·</m:t>
          </m:r>
          <m:sSubSup>
            <m:sSubSupPr>
              <m:ctrlPr>
                <w:rPr>
                  <w:rFonts w:ascii="Cambria Math" w:eastAsiaTheme="minorEastAsia" w:hAnsi="Cambria Math"/>
                  <w:i/>
                  <w:noProof/>
                  <w:lang w:val="da-DK"/>
                </w:rPr>
              </m:ctrlPr>
            </m:sSubSupPr>
            <m:e>
              <m:r>
                <w:rPr>
                  <w:rFonts w:ascii="Cambria Math" w:eastAsiaTheme="minorEastAsia" w:hAnsi="Cambria Math"/>
                  <w:noProof/>
                  <w:lang w:val="da-DK"/>
                </w:rPr>
                <m:t>σ</m:t>
              </m:r>
            </m:e>
            <m:sub>
              <m:r>
                <w:rPr>
                  <w:rFonts w:ascii="Cambria Math" w:eastAsiaTheme="minorEastAsia" w:hAnsi="Cambria Math"/>
                  <w:noProof/>
                  <w:lang w:val="da-DK"/>
                </w:rPr>
                <m:t>RP</m:t>
              </m:r>
            </m:sub>
            <m:sup>
              <m:r>
                <w:rPr>
                  <w:rFonts w:ascii="Cambria Math" w:eastAsiaTheme="minorEastAsia" w:hAnsi="Cambria Math"/>
                  <w:noProof/>
                  <w:lang w:val="da-DK"/>
                </w:rPr>
                <m:t>2</m:t>
              </m:r>
            </m:sup>
          </m:sSubSup>
          <m:r>
            <w:rPr>
              <w:rFonts w:ascii="Cambria Math" w:eastAsiaTheme="minorEastAsia" w:hAnsi="Cambria Math"/>
              <w:noProof/>
              <w:lang w:val="da-DK"/>
            </w:rPr>
            <m:t>+2·</m:t>
          </m:r>
          <m:sSub>
            <m:sSubPr>
              <m:ctrlPr>
                <w:rPr>
                  <w:rFonts w:ascii="Cambria Math" w:eastAsiaTheme="minorEastAsia" w:hAnsi="Cambria Math"/>
                  <w:i/>
                  <w:noProof/>
                  <w:lang w:val="da-DK"/>
                </w:rPr>
              </m:ctrlPr>
            </m:sSubPr>
            <m:e>
              <m:r>
                <w:rPr>
                  <w:rFonts w:ascii="Cambria Math" w:eastAsiaTheme="minorEastAsia" w:hAnsi="Cambria Math"/>
                  <w:noProof/>
                  <w:lang w:val="da-DK"/>
                </w:rPr>
                <m:t>W</m:t>
              </m:r>
            </m:e>
            <m:sub>
              <m:r>
                <w:rPr>
                  <w:rFonts w:ascii="Cambria Math" w:eastAsiaTheme="minorEastAsia" w:hAnsi="Cambria Math"/>
                  <w:noProof/>
                  <w:lang w:val="da-DK"/>
                </w:rPr>
                <m:t>BP</m:t>
              </m:r>
            </m:sub>
          </m:sSub>
          <m:d>
            <m:dPr>
              <m:ctrlPr>
                <w:rPr>
                  <w:rFonts w:ascii="Cambria Math" w:eastAsiaTheme="minorEastAsia" w:hAnsi="Cambria Math"/>
                  <w:i/>
                  <w:noProof/>
                  <w:lang w:val="da-DK"/>
                </w:rPr>
              </m:ctrlPr>
            </m:dPr>
            <m:e>
              <m:r>
                <w:rPr>
                  <w:rFonts w:ascii="Cambria Math" w:eastAsiaTheme="minorEastAsia" w:hAnsi="Cambria Math"/>
                  <w:noProof/>
                  <w:lang w:val="da-DK"/>
                </w:rPr>
                <m:t>1-</m:t>
              </m:r>
              <m:sSub>
                <m:sSubPr>
                  <m:ctrlPr>
                    <w:rPr>
                      <w:rFonts w:ascii="Cambria Math" w:eastAsiaTheme="minorEastAsia" w:hAnsi="Cambria Math"/>
                      <w:i/>
                      <w:noProof/>
                      <w:lang w:val="da-DK"/>
                    </w:rPr>
                  </m:ctrlPr>
                </m:sSubPr>
                <m:e>
                  <m:r>
                    <w:rPr>
                      <w:rFonts w:ascii="Cambria Math" w:eastAsiaTheme="minorEastAsia" w:hAnsi="Cambria Math"/>
                      <w:noProof/>
                      <w:lang w:val="da-DK"/>
                    </w:rPr>
                    <m:t>W</m:t>
                  </m:r>
                </m:e>
                <m:sub>
                  <m:r>
                    <w:rPr>
                      <w:rFonts w:ascii="Cambria Math" w:eastAsiaTheme="minorEastAsia" w:hAnsi="Cambria Math"/>
                      <w:noProof/>
                      <w:lang w:val="da-DK"/>
                    </w:rPr>
                    <m:t>BP</m:t>
                  </m:r>
                </m:sub>
              </m:sSub>
            </m:e>
          </m:d>
          <m:r>
            <w:rPr>
              <w:rFonts w:ascii="Cambria Math" w:eastAsiaTheme="minorEastAsia" w:hAnsi="Cambria Math"/>
              <w:noProof/>
              <w:lang w:val="da-DK"/>
            </w:rPr>
            <m:t>·</m:t>
          </m:r>
          <m:sSub>
            <m:sSubPr>
              <m:ctrlPr>
                <w:rPr>
                  <w:rFonts w:ascii="Cambria Math" w:eastAsiaTheme="minorEastAsia" w:hAnsi="Cambria Math"/>
                  <w:i/>
                  <w:noProof/>
                  <w:lang w:val="da-DK"/>
                </w:rPr>
              </m:ctrlPr>
            </m:sSubPr>
            <m:e>
              <m:r>
                <w:rPr>
                  <w:rFonts w:ascii="Cambria Math" w:eastAsiaTheme="minorEastAsia" w:hAnsi="Cambria Math"/>
                  <w:noProof/>
                  <w:lang w:val="da-DK"/>
                </w:rPr>
                <m:t>σ</m:t>
              </m:r>
            </m:e>
            <m:sub>
              <m:r>
                <w:rPr>
                  <w:rFonts w:ascii="Cambria Math" w:eastAsiaTheme="minorEastAsia" w:hAnsi="Cambria Math"/>
                  <w:noProof/>
                  <w:lang w:val="da-DK"/>
                </w:rPr>
                <m:t>RB</m:t>
              </m:r>
            </m:sub>
          </m:sSub>
        </m:oMath>
      </m:oMathPara>
    </w:p>
    <w:p w14:paraId="169AC537" w14:textId="0E088755" w:rsidR="00AE2D0C" w:rsidRDefault="00AE2D0C" w:rsidP="00AE2D0C">
      <w:pPr>
        <w:rPr>
          <w:rFonts w:eastAsiaTheme="minorEastAsia"/>
          <w:noProof/>
          <w:lang w:val="da-DK"/>
        </w:rPr>
      </w:pPr>
      <w:r>
        <w:rPr>
          <w:rFonts w:eastAsiaTheme="minorEastAsia"/>
          <w:noProof/>
          <w:lang w:val="da-DK"/>
        </w:rPr>
        <w:t xml:space="preserve">Ved at indsætte de tidligere fundne værdier for standardafvigelsen og kovarians, kan porteføljevariansen findes for hver vægtning af de to aktier. </w:t>
      </w:r>
    </w:p>
    <w:p w14:paraId="783C8E15" w14:textId="7A65800E" w:rsidR="00AE2D0C" w:rsidRDefault="00AE2D0C" w:rsidP="00AE2D0C">
      <w:pPr>
        <w:rPr>
          <w:rFonts w:eastAsiaTheme="minorEastAsia"/>
          <w:noProof/>
          <w:lang w:val="da-DK"/>
        </w:rPr>
      </w:pPr>
      <w:r>
        <w:rPr>
          <w:rFonts w:eastAsiaTheme="minorEastAsia"/>
          <w:noProof/>
          <w:lang w:val="da-DK"/>
        </w:rPr>
        <w:t xml:space="preserve">Et eksempel kunne være for en 50/50 vægtning. </w:t>
      </w:r>
    </w:p>
    <w:p w14:paraId="22EEA50E" w14:textId="7ED2C2F0" w:rsidR="00AE2D0C" w:rsidRPr="00AE2D0C" w:rsidRDefault="00AE2D0C" w:rsidP="0036205D">
      <w:pPr>
        <w:spacing w:line="360" w:lineRule="auto"/>
        <w:rPr>
          <w:rFonts w:eastAsiaTheme="minorEastAsia"/>
          <w:noProof/>
          <w:lang w:val="da-DK"/>
        </w:rPr>
      </w:pPr>
      <m:oMathPara>
        <m:oMath>
          <m:sSup>
            <m:sSupPr>
              <m:ctrlPr>
                <w:rPr>
                  <w:rFonts w:ascii="Cambria Math" w:eastAsiaTheme="minorEastAsia" w:hAnsi="Cambria Math"/>
                  <w:i/>
                  <w:noProof/>
                  <w:lang w:val="da-DK"/>
                </w:rPr>
              </m:ctrlPr>
            </m:sSupPr>
            <m:e>
              <m:r>
                <w:rPr>
                  <w:rFonts w:ascii="Cambria Math" w:eastAsiaTheme="minorEastAsia" w:hAnsi="Cambria Math"/>
                  <w:noProof/>
                  <w:lang w:val="da-DK"/>
                </w:rPr>
                <m:t>σ</m:t>
              </m:r>
            </m:e>
            <m:sup>
              <m:r>
                <w:rPr>
                  <w:rFonts w:ascii="Cambria Math" w:eastAsiaTheme="minorEastAsia" w:hAnsi="Cambria Math"/>
                  <w:noProof/>
                  <w:lang w:val="da-DK"/>
                </w:rPr>
                <m:t>2</m:t>
              </m:r>
            </m:sup>
          </m:sSup>
          <m:r>
            <w:rPr>
              <w:rFonts w:ascii="Cambria Math" w:eastAsiaTheme="minorEastAsia" w:hAnsi="Cambria Math"/>
              <w:noProof/>
              <w:lang w:val="da-DK"/>
            </w:rPr>
            <m:t>=</m:t>
          </m:r>
          <m:sSup>
            <m:sSupPr>
              <m:ctrlPr>
                <w:rPr>
                  <w:rFonts w:ascii="Cambria Math" w:eastAsiaTheme="minorEastAsia" w:hAnsi="Cambria Math"/>
                  <w:i/>
                  <w:noProof/>
                  <w:lang w:val="da-DK"/>
                </w:rPr>
              </m:ctrlPr>
            </m:sSupPr>
            <m:e>
              <m:r>
                <w:rPr>
                  <w:rFonts w:ascii="Cambria Math" w:eastAsiaTheme="minorEastAsia" w:hAnsi="Cambria Math"/>
                  <w:noProof/>
                  <w:lang w:val="da-DK"/>
                </w:rPr>
                <m:t>0,5</m:t>
              </m:r>
            </m:e>
            <m:sup>
              <m:r>
                <w:rPr>
                  <w:rFonts w:ascii="Cambria Math" w:eastAsiaTheme="minorEastAsia" w:hAnsi="Cambria Math"/>
                  <w:noProof/>
                  <w:lang w:val="da-DK"/>
                </w:rPr>
                <m:t>2</m:t>
              </m:r>
            </m:sup>
          </m:sSup>
          <m:r>
            <w:rPr>
              <w:rFonts w:ascii="Cambria Math" w:eastAsiaTheme="minorEastAsia" w:hAnsi="Cambria Math"/>
              <w:noProof/>
              <w:lang w:val="da-DK"/>
            </w:rPr>
            <m:t>·</m:t>
          </m:r>
          <m:sSup>
            <m:sSupPr>
              <m:ctrlPr>
                <w:rPr>
                  <w:rFonts w:ascii="Cambria Math" w:eastAsiaTheme="minorEastAsia" w:hAnsi="Cambria Math"/>
                  <w:i/>
                  <w:noProof/>
                  <w:lang w:val="da-DK"/>
                </w:rPr>
              </m:ctrlPr>
            </m:sSupPr>
            <m:e>
              <m:r>
                <w:rPr>
                  <w:rFonts w:ascii="Cambria Math" w:eastAsiaTheme="minorEastAsia" w:hAnsi="Cambria Math"/>
                  <w:noProof/>
                  <w:lang w:val="da-DK"/>
                </w:rPr>
                <m:t>0,1316</m:t>
              </m:r>
            </m:e>
            <m:sup>
              <m:r>
                <w:rPr>
                  <w:rFonts w:ascii="Cambria Math" w:eastAsiaTheme="minorEastAsia" w:hAnsi="Cambria Math"/>
                  <w:noProof/>
                  <w:lang w:val="da-DK"/>
                </w:rPr>
                <m:t>2</m:t>
              </m:r>
            </m:sup>
          </m:sSup>
          <m:r>
            <w:rPr>
              <w:rFonts w:ascii="Cambria Math" w:eastAsiaTheme="minorEastAsia" w:hAnsi="Cambria Math"/>
              <w:noProof/>
              <w:lang w:val="da-DK"/>
            </w:rPr>
            <m:t>+</m:t>
          </m:r>
          <m:sSup>
            <m:sSupPr>
              <m:ctrlPr>
                <w:rPr>
                  <w:rFonts w:ascii="Cambria Math" w:eastAsiaTheme="minorEastAsia" w:hAnsi="Cambria Math"/>
                  <w:i/>
                  <w:noProof/>
                  <w:lang w:val="da-DK"/>
                </w:rPr>
              </m:ctrlPr>
            </m:sSupPr>
            <m:e>
              <m:d>
                <m:dPr>
                  <m:ctrlPr>
                    <w:rPr>
                      <w:rFonts w:ascii="Cambria Math" w:eastAsiaTheme="minorEastAsia" w:hAnsi="Cambria Math"/>
                      <w:i/>
                      <w:noProof/>
                      <w:lang w:val="da-DK"/>
                    </w:rPr>
                  </m:ctrlPr>
                </m:dPr>
                <m:e>
                  <m:r>
                    <w:rPr>
                      <w:rFonts w:ascii="Cambria Math" w:eastAsiaTheme="minorEastAsia" w:hAnsi="Cambria Math"/>
                      <w:noProof/>
                      <w:lang w:val="da-DK"/>
                    </w:rPr>
                    <m:t>1-0,5</m:t>
                  </m:r>
                </m:e>
              </m:d>
            </m:e>
            <m:sup>
              <m:r>
                <w:rPr>
                  <w:rFonts w:ascii="Cambria Math" w:eastAsiaTheme="minorEastAsia" w:hAnsi="Cambria Math"/>
                  <w:noProof/>
                  <w:lang w:val="da-DK"/>
                </w:rPr>
                <m:t>2</m:t>
              </m:r>
            </m:sup>
          </m:sSup>
          <m:r>
            <w:rPr>
              <w:rFonts w:ascii="Cambria Math" w:eastAsiaTheme="minorEastAsia" w:hAnsi="Cambria Math"/>
              <w:noProof/>
              <w:lang w:val="da-DK"/>
            </w:rPr>
            <m:t>·</m:t>
          </m:r>
          <m:sSup>
            <m:sSupPr>
              <m:ctrlPr>
                <w:rPr>
                  <w:rFonts w:ascii="Cambria Math" w:eastAsiaTheme="minorEastAsia" w:hAnsi="Cambria Math"/>
                  <w:i/>
                  <w:noProof/>
                  <w:lang w:val="da-DK"/>
                </w:rPr>
              </m:ctrlPr>
            </m:sSupPr>
            <m:e>
              <m:r>
                <w:rPr>
                  <w:rFonts w:ascii="Cambria Math" w:eastAsiaTheme="minorEastAsia" w:hAnsi="Cambria Math"/>
                  <w:noProof/>
                  <w:lang w:val="da-DK"/>
                </w:rPr>
                <m:t>0,1470</m:t>
              </m:r>
            </m:e>
            <m:sup>
              <m:r>
                <w:rPr>
                  <w:rFonts w:ascii="Cambria Math" w:eastAsiaTheme="minorEastAsia" w:hAnsi="Cambria Math"/>
                  <w:noProof/>
                  <w:lang w:val="da-DK"/>
                </w:rPr>
                <m:t>2</m:t>
              </m:r>
            </m:sup>
          </m:sSup>
          <m:r>
            <w:rPr>
              <w:rFonts w:ascii="Cambria Math" w:eastAsiaTheme="minorEastAsia" w:hAnsi="Cambria Math"/>
              <w:noProof/>
              <w:lang w:val="da-DK"/>
            </w:rPr>
            <m:t>+2·0,5·</m:t>
          </m:r>
          <m:d>
            <m:dPr>
              <m:ctrlPr>
                <w:rPr>
                  <w:rFonts w:ascii="Cambria Math" w:eastAsiaTheme="minorEastAsia" w:hAnsi="Cambria Math"/>
                  <w:i/>
                  <w:noProof/>
                  <w:lang w:val="da-DK"/>
                </w:rPr>
              </m:ctrlPr>
            </m:dPr>
            <m:e>
              <m:r>
                <w:rPr>
                  <w:rFonts w:ascii="Cambria Math" w:eastAsiaTheme="minorEastAsia" w:hAnsi="Cambria Math"/>
                  <w:noProof/>
                  <w:lang w:val="da-DK"/>
                </w:rPr>
                <m:t>1-0,5</m:t>
              </m:r>
            </m:e>
          </m:d>
          <m:r>
            <w:rPr>
              <w:rFonts w:ascii="Cambria Math" w:eastAsiaTheme="minorEastAsia" w:hAnsi="Cambria Math"/>
              <w:noProof/>
              <w:lang w:val="da-DK"/>
            </w:rPr>
            <m:t>·0,002</m:t>
          </m:r>
          <m:r>
            <w:rPr>
              <w:rFonts w:ascii="Cambria Math" w:eastAsiaTheme="minorEastAsia" w:hAnsi="Cambria Math"/>
              <w:noProof/>
              <w:lang w:val="da-DK"/>
            </w:rPr>
            <m:t>≈0,01073189</m:t>
          </m:r>
        </m:oMath>
      </m:oMathPara>
    </w:p>
    <w:p w14:paraId="768D7D60" w14:textId="66F418A2" w:rsidR="00AE2D0C" w:rsidRPr="00AE2D0C" w:rsidRDefault="00AE2D0C" w:rsidP="0036205D">
      <w:pPr>
        <w:spacing w:line="360" w:lineRule="auto"/>
        <w:rPr>
          <w:rFonts w:eastAsiaTheme="minorEastAsia"/>
          <w:noProof/>
          <w:lang w:val="da-DK"/>
        </w:rPr>
      </w:pPr>
      <w:r>
        <w:rPr>
          <w:rFonts w:eastAsiaTheme="minorEastAsia"/>
          <w:noProof/>
          <w:lang w:val="da-DK"/>
        </w:rPr>
        <w:t xml:space="preserve">For at finde standardafvigelsen tages kvadratroden. </w:t>
      </w:r>
      <m:oMath>
        <m:rad>
          <m:radPr>
            <m:degHide m:val="1"/>
            <m:ctrlPr>
              <w:rPr>
                <w:rFonts w:ascii="Cambria Math" w:eastAsiaTheme="minorEastAsia" w:hAnsi="Cambria Math"/>
                <w:i/>
                <w:noProof/>
                <w:lang w:val="da-DK"/>
              </w:rPr>
            </m:ctrlPr>
          </m:radPr>
          <m:deg/>
          <m:e>
            <m:sSup>
              <m:sSupPr>
                <m:ctrlPr>
                  <w:rPr>
                    <w:rFonts w:ascii="Cambria Math" w:eastAsiaTheme="minorEastAsia" w:hAnsi="Cambria Math"/>
                    <w:i/>
                    <w:noProof/>
                    <w:lang w:val="da-DK"/>
                  </w:rPr>
                </m:ctrlPr>
              </m:sSupPr>
              <m:e>
                <m:r>
                  <w:rPr>
                    <w:rFonts w:ascii="Cambria Math" w:eastAsiaTheme="minorEastAsia" w:hAnsi="Cambria Math"/>
                    <w:noProof/>
                    <w:lang w:val="da-DK"/>
                  </w:rPr>
                  <m:t>σ</m:t>
                </m:r>
              </m:e>
              <m:sup>
                <m:r>
                  <w:rPr>
                    <w:rFonts w:ascii="Cambria Math" w:eastAsiaTheme="minorEastAsia" w:hAnsi="Cambria Math"/>
                    <w:noProof/>
                    <w:lang w:val="da-DK"/>
                  </w:rPr>
                  <m:t>2</m:t>
                </m:r>
              </m:sup>
            </m:sSup>
          </m:e>
        </m:rad>
        <m:r>
          <w:rPr>
            <w:rFonts w:ascii="Cambria Math" w:eastAsiaTheme="minorEastAsia" w:hAnsi="Cambria Math"/>
            <w:noProof/>
            <w:lang w:val="da-DK"/>
          </w:rPr>
          <m:t>=</m:t>
        </m:r>
        <m:rad>
          <m:radPr>
            <m:degHide m:val="1"/>
            <m:ctrlPr>
              <w:rPr>
                <w:rFonts w:ascii="Cambria Math" w:eastAsiaTheme="minorEastAsia" w:hAnsi="Cambria Math"/>
                <w:i/>
                <w:noProof/>
                <w:lang w:val="da-DK"/>
              </w:rPr>
            </m:ctrlPr>
          </m:radPr>
          <m:deg/>
          <m:e>
            <m:r>
              <w:rPr>
                <w:rFonts w:ascii="Cambria Math" w:eastAsiaTheme="minorEastAsia" w:hAnsi="Cambria Math"/>
                <w:noProof/>
                <w:lang w:val="da-DK"/>
              </w:rPr>
              <m:t>0,01073189</m:t>
            </m:r>
          </m:e>
        </m:rad>
        <m:r>
          <w:rPr>
            <w:rFonts w:ascii="Cambria Math" w:eastAsiaTheme="minorEastAsia" w:hAnsi="Cambria Math"/>
            <w:noProof/>
            <w:lang w:val="da-DK"/>
          </w:rPr>
          <w:br/>
        </m:r>
      </m:oMath>
      <m:oMathPara>
        <m:oMath>
          <m:r>
            <w:rPr>
              <w:rFonts w:ascii="Cambria Math" w:eastAsiaTheme="minorEastAsia" w:hAnsi="Cambria Math"/>
              <w:noProof/>
              <w:lang w:val="da-DK"/>
            </w:rPr>
            <m:t/>
          </m:r>
          <w:bookmarkStart w:id="0" w:name="OLE_LINK3"/>
          <m:r>
            <w:rPr>
              <w:rFonts w:ascii="Cambria Math" w:eastAsiaTheme="minorEastAsia" w:hAnsi="Cambria Math"/>
              <w:noProof/>
              <w:lang w:val="da-DK"/>
            </w:rPr>
            <m:t>=</m:t>
          </m:r>
          <m:r>
            <w:rPr>
              <w:rFonts w:ascii="Cambria Math" w:eastAsiaTheme="minorEastAsia" w:hAnsi="Cambria Math"/>
              <w:noProof/>
              <w:lang w:val="da-DK"/>
            </w:rPr>
            <m:t>0,1035948</m:t>
          </m:r>
        </m:oMath>
      </m:oMathPara>
    </w:p>
    <w:bookmarkEnd w:id="0"/>
    <w:p w14:paraId="3D61FE28" w14:textId="4D3A5844" w:rsidR="00AE2D0C" w:rsidRPr="00AE2D0C" w:rsidRDefault="00AE2D0C" w:rsidP="0036205D">
      <w:pPr>
        <w:spacing w:line="360" w:lineRule="auto"/>
        <w:rPr>
          <w:rFonts w:eastAsiaTheme="minorEastAsia"/>
          <w:noProof/>
          <w:lang w:val="da-DK"/>
        </w:rPr>
      </w:pPr>
      <w:r>
        <w:rPr>
          <w:rFonts w:eastAsiaTheme="minorEastAsia"/>
          <w:noProof/>
          <w:lang w:val="da-DK"/>
        </w:rPr>
        <w:t xml:space="preserve">Derfor er porteføljens standardafvigelsen ved en 50/50 vægtning af de værdipapirer lig </w:t>
      </w:r>
      <m:oMath>
        <m:r>
          <w:rPr>
            <w:rFonts w:ascii="Cambria Math" w:eastAsiaTheme="minorEastAsia" w:hAnsi="Cambria Math"/>
            <w:noProof/>
            <w:lang w:val="da-DK"/>
          </w:rPr>
          <w:br/>
        </m:r>
      </m:oMath>
      <m:oMathPara>
        <m:oMath>
          <m:r>
            <w:rPr>
              <w:rFonts w:ascii="Cambria Math" w:eastAsiaTheme="minorEastAsia" w:hAnsi="Cambria Math"/>
              <w:noProof/>
              <w:lang w:val="da-DK"/>
            </w:rPr>
            <m:t>0,1035948</m:t>
          </m:r>
        </m:oMath>
      </m:oMathPara>
    </w:p>
    <w:p w14:paraId="7A6404EE" w14:textId="0D32B72B" w:rsidR="00AE2D0C" w:rsidRDefault="00AE2D0C" w:rsidP="0036205D">
      <w:pPr>
        <w:spacing w:line="360" w:lineRule="auto"/>
        <w:rPr>
          <w:rFonts w:eastAsiaTheme="minorEastAsia"/>
          <w:noProof/>
          <w:lang w:val="da-DK"/>
        </w:rPr>
      </w:pPr>
      <w:r>
        <w:rPr>
          <w:rFonts w:eastAsiaTheme="minorEastAsia"/>
          <w:noProof/>
          <w:lang w:val="da-DK"/>
        </w:rPr>
        <w:t xml:space="preserve">Nedenstående illusterer sammenhængen mellem </w:t>
      </w:r>
      <w:r w:rsidR="00BC27C3">
        <w:rPr>
          <w:rFonts w:eastAsiaTheme="minorEastAsia"/>
          <w:noProof/>
          <w:lang w:val="da-DK"/>
        </w:rPr>
        <w:t xml:space="preserve">vægtningen af BP og porteføljens standardafvigelse. </w:t>
      </w:r>
    </w:p>
    <w:p w14:paraId="6DA992FB" w14:textId="1125F551" w:rsidR="00BC27C3" w:rsidRDefault="00BC27C3" w:rsidP="0036205D">
      <w:pPr>
        <w:spacing w:line="360" w:lineRule="auto"/>
        <w:rPr>
          <w:rFonts w:eastAsiaTheme="minorEastAsia"/>
          <w:noProof/>
          <w:lang w:val="da-DK"/>
        </w:rPr>
      </w:pPr>
      <w:r>
        <w:rPr>
          <w:noProof/>
        </w:rPr>
        <w:drawing>
          <wp:inline distT="0" distB="0" distL="0" distR="0" wp14:anchorId="24C5DA08" wp14:editId="554A184E">
            <wp:extent cx="4572000" cy="2743200"/>
            <wp:effectExtent l="0" t="0" r="12700" b="12700"/>
            <wp:docPr id="15" name="Chart 15">
              <a:extLst xmlns:a="http://schemas.openxmlformats.org/drawingml/2006/main">
                <a:ext uri="{FF2B5EF4-FFF2-40B4-BE49-F238E27FC236}">
                  <a16:creationId xmlns:a16="http://schemas.microsoft.com/office/drawing/2014/main" id="{2374B3D3-1428-8E48-ADC2-E9EFBEFA44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840CD55" w14:textId="44324E26" w:rsidR="00BC27C3" w:rsidRDefault="00BC27C3" w:rsidP="0036205D">
      <w:pPr>
        <w:spacing w:line="360" w:lineRule="auto"/>
        <w:rPr>
          <w:rFonts w:eastAsiaTheme="minorEastAsia"/>
          <w:noProof/>
          <w:lang w:val="da-DK"/>
        </w:rPr>
      </w:pPr>
    </w:p>
    <w:p w14:paraId="58ECF041" w14:textId="1425F65D" w:rsidR="00BC27C3" w:rsidRDefault="00BC27C3" w:rsidP="0036205D">
      <w:pPr>
        <w:spacing w:line="360" w:lineRule="auto"/>
        <w:rPr>
          <w:rFonts w:eastAsiaTheme="minorEastAsia"/>
          <w:noProof/>
          <w:lang w:val="da-DK"/>
        </w:rPr>
      </w:pPr>
      <w:r>
        <w:rPr>
          <w:rFonts w:eastAsiaTheme="minorEastAsia"/>
          <w:b/>
          <w:bCs/>
          <w:noProof/>
          <w:lang w:val="da-DK"/>
        </w:rPr>
        <w:t>4.4</w:t>
      </w:r>
    </w:p>
    <w:p w14:paraId="0F68FD85" w14:textId="0AB43A25" w:rsidR="00BC27C3" w:rsidRDefault="00BC27C3" w:rsidP="0036205D">
      <w:pPr>
        <w:spacing w:line="360" w:lineRule="auto"/>
        <w:rPr>
          <w:rFonts w:eastAsiaTheme="minorEastAsia"/>
          <w:noProof/>
          <w:lang w:val="da-DK"/>
        </w:rPr>
      </w:pPr>
      <w:r>
        <w:rPr>
          <w:rFonts w:eastAsiaTheme="minorEastAsia"/>
          <w:noProof/>
          <w:lang w:val="da-DK"/>
        </w:rPr>
        <w:t xml:space="preserve">Ved at aflæse grafen kan den vægtning, der mindsker risikoen findes. </w:t>
      </w:r>
    </w:p>
    <w:p w14:paraId="3F275830" w14:textId="260576E5" w:rsidR="00BC27C3" w:rsidRDefault="00BC27C3" w:rsidP="0036205D">
      <w:pPr>
        <w:spacing w:line="360" w:lineRule="auto"/>
        <w:rPr>
          <w:rFonts w:eastAsiaTheme="minorEastAsia"/>
          <w:noProof/>
          <w:lang w:val="da-DK"/>
        </w:rPr>
      </w:pPr>
      <w:r>
        <w:rPr>
          <w:rFonts w:eastAsiaTheme="minorEastAsia"/>
          <w:noProof/>
          <w:lang w:val="da-DK"/>
        </w:rPr>
        <w:t xml:space="preserve">Vægtningen er 56% BP, hvilket er lig 44% RP. </w:t>
      </w:r>
    </w:p>
    <w:p w14:paraId="3AAEFA58" w14:textId="65C6E2ED" w:rsidR="00BC27C3" w:rsidRDefault="00BC27C3" w:rsidP="0036205D">
      <w:pPr>
        <w:spacing w:line="360" w:lineRule="auto"/>
        <w:rPr>
          <w:rFonts w:eastAsiaTheme="minorEastAsia"/>
          <w:noProof/>
          <w:lang w:val="da-DK"/>
        </w:rPr>
      </w:pPr>
    </w:p>
    <w:p w14:paraId="19FC7996" w14:textId="55EC5A64" w:rsidR="00BC27C3" w:rsidRPr="00BC27C3" w:rsidRDefault="00BC27C3" w:rsidP="0036205D">
      <w:pPr>
        <w:spacing w:line="360" w:lineRule="auto"/>
        <w:rPr>
          <w:rFonts w:eastAsiaTheme="minorEastAsia"/>
          <w:noProof/>
          <w:lang w:val="da-DK"/>
        </w:rPr>
      </w:pPr>
      <w:r>
        <w:rPr>
          <w:rFonts w:eastAsiaTheme="minorEastAsia"/>
          <w:noProof/>
          <w:lang w:val="da-DK"/>
        </w:rPr>
        <w:t xml:space="preserve">Jf. Diversifikationsprincippet siger, at ved at sprede investeringen over flere aktier, hvis afkast er mindre end perfekt korrelerede, vil risikoen fra de enkelte virksomheder falde i den samlede portefølje. Altså den samlede risiko falder, når begge værdipapirer inkluderes. </w:t>
      </w:r>
    </w:p>
    <w:p w14:paraId="38BA52B6" w14:textId="5F037628" w:rsidR="00BC27C3" w:rsidRDefault="00BC27C3" w:rsidP="0036205D">
      <w:pPr>
        <w:spacing w:line="360" w:lineRule="auto"/>
        <w:rPr>
          <w:rFonts w:eastAsiaTheme="minorEastAsia"/>
          <w:noProof/>
          <w:lang w:val="da-DK"/>
        </w:rPr>
      </w:pPr>
    </w:p>
    <w:p w14:paraId="65830076" w14:textId="39EC0302" w:rsidR="00BC27C3" w:rsidRDefault="00BC27C3" w:rsidP="0036205D">
      <w:pPr>
        <w:spacing w:line="360" w:lineRule="auto"/>
        <w:rPr>
          <w:rFonts w:eastAsiaTheme="minorEastAsia"/>
          <w:noProof/>
          <w:lang w:val="da-DK"/>
        </w:rPr>
      </w:pPr>
    </w:p>
    <w:p w14:paraId="2E3C2FA1" w14:textId="2693F4F5" w:rsidR="00BC27C3" w:rsidRDefault="003F26BF" w:rsidP="0036205D">
      <w:pPr>
        <w:spacing w:line="360" w:lineRule="auto"/>
        <w:rPr>
          <w:rFonts w:eastAsiaTheme="minorEastAsia"/>
          <w:b/>
          <w:bCs/>
          <w:noProof/>
          <w:lang w:val="da-DK"/>
        </w:rPr>
      </w:pPr>
      <w:r>
        <w:rPr>
          <w:rFonts w:eastAsiaTheme="minorEastAsia"/>
          <w:b/>
          <w:bCs/>
          <w:noProof/>
          <w:lang w:val="da-DK"/>
        </w:rPr>
        <w:lastRenderedPageBreak/>
        <w:t xml:space="preserve">4.5 </w:t>
      </w:r>
    </w:p>
    <w:p w14:paraId="152911B4" w14:textId="21637AE0" w:rsidR="003F26BF" w:rsidRDefault="003F26BF" w:rsidP="0036205D">
      <w:pPr>
        <w:spacing w:line="360" w:lineRule="auto"/>
        <w:rPr>
          <w:rFonts w:eastAsiaTheme="minorEastAsia"/>
          <w:noProof/>
          <w:lang w:val="da-DK"/>
        </w:rPr>
      </w:pPr>
      <w:r>
        <w:rPr>
          <w:rFonts w:eastAsiaTheme="minorEastAsia"/>
          <w:noProof/>
          <w:lang w:val="da-DK"/>
        </w:rPr>
        <w:t xml:space="preserve">Det kan udledes, der er lille samvariation mellem BP og markedet, kontra RP, hvor der er stor sammenhæng. Dette udledes ved at tegne den bedste rette linje i hoved, og se afstanden til punkterne. </w:t>
      </w:r>
    </w:p>
    <w:p w14:paraId="4FCFF391" w14:textId="77777777" w:rsidR="003F26BF" w:rsidRDefault="003F26BF" w:rsidP="0036205D">
      <w:pPr>
        <w:spacing w:line="360" w:lineRule="auto"/>
        <w:rPr>
          <w:rFonts w:eastAsiaTheme="minorEastAsia"/>
          <w:noProof/>
          <w:lang w:val="da-DK"/>
        </w:rPr>
      </w:pPr>
    </w:p>
    <w:p w14:paraId="1771BBD3" w14:textId="6438DC2B" w:rsidR="003F26BF" w:rsidRDefault="003F26BF" w:rsidP="0036205D">
      <w:pPr>
        <w:spacing w:line="360" w:lineRule="auto"/>
        <w:rPr>
          <w:rFonts w:eastAsiaTheme="minorEastAsia"/>
          <w:noProof/>
          <w:lang w:val="da-DK"/>
        </w:rPr>
      </w:pPr>
      <w:r>
        <w:rPr>
          <w:rFonts w:eastAsiaTheme="minorEastAsia"/>
          <w:noProof/>
          <w:lang w:val="da-DK"/>
        </w:rPr>
        <w:t xml:space="preserve">I CAPM er aktier med høje betaværdier, aktier der giver et højere afkast end ved lave betaværdier. En højbetaværdi betyder, aktien er positivt korreleret med aktiemarkedet. Hvis man tilknytter sådan en aktie til en portefølje, vil den bidrage til den samlede porteføljerisiko end aktie med lavere betaværdi. Derfor vil risikoaverse investorer kræve højere afkast ved aktier med høje betaværdier. </w:t>
      </w:r>
    </w:p>
    <w:p w14:paraId="437CCDB2" w14:textId="25EBF40A" w:rsidR="003F26BF" w:rsidRDefault="003F26BF" w:rsidP="0036205D">
      <w:pPr>
        <w:spacing w:line="360" w:lineRule="auto"/>
        <w:rPr>
          <w:rFonts w:eastAsiaTheme="minorEastAsia"/>
          <w:noProof/>
          <w:lang w:val="da-DK"/>
        </w:rPr>
      </w:pPr>
    </w:p>
    <w:p w14:paraId="67FDFD52" w14:textId="268887F6" w:rsidR="003F26BF" w:rsidRDefault="003F26BF" w:rsidP="0036205D">
      <w:pPr>
        <w:spacing w:line="360" w:lineRule="auto"/>
        <w:rPr>
          <w:rFonts w:eastAsiaTheme="minorEastAsia"/>
          <w:noProof/>
          <w:lang w:val="da-DK"/>
        </w:rPr>
      </w:pPr>
      <w:r>
        <w:rPr>
          <w:rFonts w:eastAsiaTheme="minorEastAsia"/>
          <w:noProof/>
          <w:lang w:val="da-DK"/>
        </w:rPr>
        <w:t xml:space="preserve">Da RP aktien har en højere betaværdi, må denne også have højere forventet afkast end BP. </w:t>
      </w:r>
    </w:p>
    <w:p w14:paraId="53123DFE" w14:textId="1F14EC01" w:rsidR="003F26BF" w:rsidRDefault="003F26BF" w:rsidP="0036205D">
      <w:pPr>
        <w:spacing w:line="360" w:lineRule="auto"/>
        <w:rPr>
          <w:rFonts w:eastAsiaTheme="minorEastAsia"/>
          <w:noProof/>
          <w:lang w:val="da-DK"/>
        </w:rPr>
      </w:pPr>
    </w:p>
    <w:p w14:paraId="00AE994A" w14:textId="59A7D072" w:rsidR="003F26BF" w:rsidRDefault="003F26BF" w:rsidP="0036205D">
      <w:pPr>
        <w:spacing w:line="360" w:lineRule="auto"/>
        <w:rPr>
          <w:rFonts w:eastAsiaTheme="minorEastAsia"/>
          <w:b/>
          <w:bCs/>
          <w:noProof/>
          <w:lang w:val="da-DK"/>
        </w:rPr>
      </w:pPr>
      <w:r>
        <w:rPr>
          <w:rFonts w:eastAsiaTheme="minorEastAsia"/>
          <w:b/>
          <w:bCs/>
          <w:noProof/>
          <w:lang w:val="da-DK"/>
        </w:rPr>
        <w:t>4.6</w:t>
      </w:r>
    </w:p>
    <w:p w14:paraId="15F47AD6" w14:textId="00150841" w:rsidR="003F26BF" w:rsidRDefault="00C50314" w:rsidP="0036205D">
      <w:pPr>
        <w:spacing w:line="360" w:lineRule="auto"/>
        <w:rPr>
          <w:rFonts w:eastAsiaTheme="minorEastAsia"/>
          <w:b/>
          <w:bCs/>
          <w:noProof/>
          <w:lang w:val="da-DK"/>
        </w:rPr>
      </w:pPr>
      <w:r>
        <w:rPr>
          <w:rFonts w:eastAsiaTheme="minorEastAsia"/>
          <w:b/>
          <w:bCs/>
          <w:noProof/>
          <w:lang w:val="da-DK"/>
        </w:rPr>
        <w:t xml:space="preserve">5.1 </w:t>
      </w:r>
    </w:p>
    <w:p w14:paraId="43276CB0" w14:textId="2065E4D3" w:rsidR="00C50314" w:rsidRDefault="00C50314" w:rsidP="0036205D">
      <w:pPr>
        <w:spacing w:line="360" w:lineRule="auto"/>
        <w:rPr>
          <w:rFonts w:eastAsiaTheme="minorEastAsia"/>
          <w:noProof/>
          <w:lang w:val="da-DK"/>
        </w:rPr>
      </w:pPr>
    </w:p>
    <w:p w14:paraId="793D51D1" w14:textId="27272ED2" w:rsidR="00C50314" w:rsidRDefault="00C50314" w:rsidP="0036205D">
      <w:pPr>
        <w:spacing w:line="360" w:lineRule="auto"/>
        <w:rPr>
          <w:rFonts w:eastAsiaTheme="minorEastAsia"/>
          <w:noProof/>
          <w:lang w:val="da-DK"/>
        </w:rPr>
      </w:pPr>
      <w:r>
        <w:rPr>
          <w:rFonts w:eastAsiaTheme="minorEastAsia"/>
          <w:noProof/>
          <w:lang w:val="da-DK"/>
        </w:rPr>
        <w:t xml:space="preserve">Ved produktion under 200.000 er AC kurven givet ved </w:t>
      </w:r>
      <m:oMath>
        <m:f>
          <m:fPr>
            <m:ctrlPr>
              <w:rPr>
                <w:rFonts w:ascii="Cambria Math" w:eastAsiaTheme="minorEastAsia" w:hAnsi="Cambria Math"/>
                <w:i/>
                <w:noProof/>
                <w:lang w:val="da-DK"/>
              </w:rPr>
            </m:ctrlPr>
          </m:fPr>
          <m:num>
            <m:r>
              <w:rPr>
                <w:rFonts w:ascii="Cambria Math" w:eastAsiaTheme="minorEastAsia" w:hAnsi="Cambria Math"/>
                <w:noProof/>
                <w:lang w:val="da-DK"/>
              </w:rPr>
              <m:t>1.000.000</m:t>
            </m:r>
          </m:num>
          <m:den>
            <m:r>
              <w:rPr>
                <w:rFonts w:ascii="Cambria Math" w:eastAsiaTheme="minorEastAsia" w:hAnsi="Cambria Math"/>
                <w:noProof/>
                <w:lang w:val="da-DK"/>
              </w:rPr>
              <m:t>Q</m:t>
            </m:r>
          </m:den>
        </m:f>
        <m:r>
          <w:rPr>
            <w:rFonts w:ascii="Cambria Math" w:eastAsiaTheme="minorEastAsia" w:hAnsi="Cambria Math"/>
            <w:noProof/>
            <w:lang w:val="da-DK"/>
          </w:rPr>
          <m:t>+6</m:t>
        </m:r>
      </m:oMath>
      <w:r>
        <w:rPr>
          <w:rFonts w:eastAsiaTheme="minorEastAsia"/>
          <w:noProof/>
          <w:lang w:val="da-DK"/>
        </w:rPr>
        <w:t xml:space="preserve">, mens en produktion over 200.000 er AC-kurven givet ved </w:t>
      </w:r>
      <m:oMath>
        <m:r>
          <w:rPr>
            <w:rFonts w:ascii="Cambria Math" w:eastAsiaTheme="minorEastAsia" w:hAnsi="Cambria Math"/>
            <w:noProof/>
            <w:lang w:val="da-DK"/>
          </w:rPr>
          <m:t>11</m:t>
        </m:r>
      </m:oMath>
      <w:r>
        <w:rPr>
          <w:rFonts w:eastAsiaTheme="minorEastAsia"/>
          <w:noProof/>
          <w:lang w:val="da-DK"/>
        </w:rPr>
        <w:t>.</w:t>
      </w:r>
    </w:p>
    <w:p w14:paraId="253BEF7B" w14:textId="3628E768" w:rsidR="00C50314" w:rsidRDefault="00C50314" w:rsidP="0036205D">
      <w:pPr>
        <w:spacing w:line="360" w:lineRule="auto"/>
        <w:rPr>
          <w:rFonts w:eastAsiaTheme="minorEastAsia"/>
          <w:noProof/>
          <w:lang w:val="da-DK"/>
        </w:rPr>
      </w:pPr>
      <w:r>
        <w:rPr>
          <w:noProof/>
        </w:rPr>
        <w:drawing>
          <wp:inline distT="0" distB="0" distL="0" distR="0" wp14:anchorId="26A7800E" wp14:editId="02E87241">
            <wp:extent cx="4572000" cy="2743200"/>
            <wp:effectExtent l="0" t="0" r="12700" b="12700"/>
            <wp:docPr id="20" name="Chart 20">
              <a:extLst xmlns:a="http://schemas.openxmlformats.org/drawingml/2006/main">
                <a:ext uri="{FF2B5EF4-FFF2-40B4-BE49-F238E27FC236}">
                  <a16:creationId xmlns:a16="http://schemas.microsoft.com/office/drawing/2014/main" id="{F2115752-1EA3-A942-A554-AB3AD2EF22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A426329" w14:textId="7DB28F40" w:rsidR="00C50314" w:rsidRDefault="00C50314" w:rsidP="0036205D">
      <w:pPr>
        <w:spacing w:line="360" w:lineRule="auto"/>
        <w:rPr>
          <w:rFonts w:eastAsiaTheme="minorEastAsia"/>
          <w:noProof/>
          <w:lang w:val="da-DK"/>
        </w:rPr>
      </w:pPr>
      <w:r>
        <w:rPr>
          <w:rFonts w:eastAsiaTheme="minorEastAsia"/>
          <w:noProof/>
          <w:lang w:val="da-DK"/>
        </w:rPr>
        <w:t xml:space="preserve">Figuren illusterer sammenhængen mellem produceret mængde og </w:t>
      </w:r>
      <w:r w:rsidR="00744170">
        <w:rPr>
          <w:rFonts w:eastAsiaTheme="minorEastAsia"/>
          <w:noProof/>
          <w:lang w:val="da-DK"/>
        </w:rPr>
        <w:t xml:space="preserve">gennemsnitsomkostninger. Omkostninger er faldende indtil 200.000, hvor efter gennemsnitsomkostninger er faste. Den minimale efficiente skala er derfor lig 200.000 </w:t>
      </w:r>
      <w:r w:rsidR="00744170">
        <w:rPr>
          <w:rFonts w:eastAsiaTheme="minorEastAsia"/>
          <w:noProof/>
          <w:lang w:val="da-DK"/>
        </w:rPr>
        <w:lastRenderedPageBreak/>
        <w:t xml:space="preserve">producerede enheder. Pga de faldende omkostninger er der stordriftsfordele indtil 200.000 enheder producerede enheder. Dette er pga faldende gennemsnitsomkostning indtil punktet. </w:t>
      </w:r>
    </w:p>
    <w:p w14:paraId="462E8090" w14:textId="0106E6F6" w:rsidR="00744170" w:rsidRDefault="00744170" w:rsidP="0036205D">
      <w:pPr>
        <w:spacing w:line="360" w:lineRule="auto"/>
        <w:rPr>
          <w:rFonts w:eastAsiaTheme="minorEastAsia"/>
          <w:noProof/>
          <w:lang w:val="da-DK"/>
        </w:rPr>
      </w:pPr>
    </w:p>
    <w:p w14:paraId="00D72C42" w14:textId="47CF89E7" w:rsidR="00744170" w:rsidRDefault="00744170" w:rsidP="0036205D">
      <w:pPr>
        <w:spacing w:line="360" w:lineRule="auto"/>
        <w:rPr>
          <w:rFonts w:eastAsiaTheme="minorEastAsia"/>
          <w:noProof/>
          <w:lang w:val="da-DK"/>
        </w:rPr>
      </w:pPr>
      <w:r>
        <w:rPr>
          <w:rFonts w:eastAsiaTheme="minorEastAsia"/>
          <w:b/>
          <w:bCs/>
          <w:noProof/>
          <w:lang w:val="da-DK"/>
        </w:rPr>
        <w:t xml:space="preserve">5.2 </w:t>
      </w:r>
    </w:p>
    <w:p w14:paraId="7FEA34F6" w14:textId="40DE2D26" w:rsidR="00744170" w:rsidRDefault="00744170" w:rsidP="0036205D">
      <w:pPr>
        <w:spacing w:line="360" w:lineRule="auto"/>
        <w:rPr>
          <w:rFonts w:eastAsiaTheme="minorEastAsia"/>
          <w:noProof/>
          <w:lang w:val="da-DK"/>
        </w:rPr>
      </w:pPr>
      <w:r>
        <w:rPr>
          <w:rFonts w:eastAsiaTheme="minorEastAsia"/>
          <w:noProof/>
          <w:lang w:val="da-DK"/>
        </w:rPr>
        <w:t xml:space="preserve">Der burde ikke være nogen former for hold-up-problemer, da aftalen ikke indeholder nogle relations specifikke investeringer. Skulle transportfirmaet senere vil genforhandle kontrakten, så vil FriskFangst kunne skifte til en konkurrent. </w:t>
      </w:r>
    </w:p>
    <w:p w14:paraId="2676ED90" w14:textId="3B847039" w:rsidR="00744170" w:rsidRDefault="00744170" w:rsidP="0036205D">
      <w:pPr>
        <w:spacing w:line="360" w:lineRule="auto"/>
        <w:rPr>
          <w:rFonts w:eastAsiaTheme="minorEastAsia"/>
          <w:noProof/>
          <w:lang w:val="da-DK"/>
        </w:rPr>
      </w:pPr>
    </w:p>
    <w:p w14:paraId="62D21C69" w14:textId="71D5C66F" w:rsidR="00744170" w:rsidRDefault="00744170" w:rsidP="0036205D">
      <w:pPr>
        <w:spacing w:line="360" w:lineRule="auto"/>
        <w:rPr>
          <w:rFonts w:eastAsiaTheme="minorEastAsia"/>
          <w:noProof/>
          <w:lang w:val="da-DK"/>
        </w:rPr>
      </w:pPr>
      <w:r>
        <w:rPr>
          <w:rFonts w:eastAsiaTheme="minorEastAsia"/>
          <w:noProof/>
          <w:lang w:val="da-DK"/>
        </w:rPr>
        <w:t xml:space="preserve">Et argument for vertikal integration ville være beskyttelse af information, men i denne branche er dette og usandsynligt. </w:t>
      </w:r>
    </w:p>
    <w:p w14:paraId="5451F4E9" w14:textId="21A2DC6C" w:rsidR="00744170" w:rsidRDefault="00744170" w:rsidP="0036205D">
      <w:pPr>
        <w:spacing w:line="360" w:lineRule="auto"/>
        <w:rPr>
          <w:rFonts w:eastAsiaTheme="minorEastAsia"/>
          <w:noProof/>
          <w:lang w:val="da-DK"/>
        </w:rPr>
      </w:pPr>
    </w:p>
    <w:p w14:paraId="7FEEE1F7" w14:textId="1995CE79" w:rsidR="00744170" w:rsidRDefault="00744170" w:rsidP="0036205D">
      <w:pPr>
        <w:spacing w:line="360" w:lineRule="auto"/>
        <w:rPr>
          <w:rFonts w:eastAsiaTheme="minorEastAsia"/>
          <w:noProof/>
          <w:lang w:val="da-DK"/>
        </w:rPr>
      </w:pPr>
      <w:r>
        <w:rPr>
          <w:rFonts w:eastAsiaTheme="minorEastAsia"/>
          <w:noProof/>
          <w:lang w:val="da-DK"/>
        </w:rPr>
        <w:t xml:space="preserve">Et andet argument kunne være koordination. Hvis alle arbejdede som en enkel organisme fremfor flere forskellige, vil man bedre kunne koordinere opgaven fra top til bund. </w:t>
      </w:r>
    </w:p>
    <w:p w14:paraId="231EA584" w14:textId="69C07D36" w:rsidR="00744170" w:rsidRDefault="00744170" w:rsidP="0036205D">
      <w:pPr>
        <w:spacing w:line="360" w:lineRule="auto"/>
        <w:rPr>
          <w:rFonts w:eastAsiaTheme="minorEastAsia"/>
          <w:noProof/>
          <w:lang w:val="da-DK"/>
        </w:rPr>
      </w:pPr>
    </w:p>
    <w:p w14:paraId="18906CAB" w14:textId="07052197" w:rsidR="00744170" w:rsidRDefault="00744170" w:rsidP="0036205D">
      <w:pPr>
        <w:spacing w:line="360" w:lineRule="auto"/>
        <w:rPr>
          <w:rFonts w:eastAsiaTheme="minorEastAsia"/>
          <w:noProof/>
          <w:lang w:val="da-DK"/>
        </w:rPr>
      </w:pPr>
      <w:r>
        <w:rPr>
          <w:rFonts w:eastAsiaTheme="minorEastAsia"/>
          <w:b/>
          <w:bCs/>
          <w:noProof/>
          <w:lang w:val="da-DK"/>
        </w:rPr>
        <w:t xml:space="preserve">5.3 </w:t>
      </w:r>
    </w:p>
    <w:p w14:paraId="1006DCEB" w14:textId="7255CE14" w:rsidR="00744170" w:rsidRDefault="00744170" w:rsidP="0036205D">
      <w:pPr>
        <w:spacing w:line="360" w:lineRule="auto"/>
        <w:rPr>
          <w:rFonts w:eastAsiaTheme="minorEastAsia"/>
          <w:noProof/>
          <w:lang w:val="da-DK"/>
        </w:rPr>
      </w:pPr>
      <w:r>
        <w:rPr>
          <w:rFonts w:eastAsiaTheme="minorEastAsia"/>
          <w:noProof/>
          <w:lang w:val="da-DK"/>
        </w:rPr>
        <w:t xml:space="preserve">1) Friskfangst stærke brand vil kunne hjælpe brande øllene vha. Umbrella branding. Ellers ville der kun være samdriftsfordele, hvis kunderne ønskede begge produkter. At opbygge et konglomarat ville formentlig mest styrke direktørens postion, da investorene bare selv ville kunne investere i bryggeriet. </w:t>
      </w:r>
    </w:p>
    <w:p w14:paraId="25ECBB52" w14:textId="05DB00A6" w:rsidR="00744170" w:rsidRDefault="00744170" w:rsidP="0036205D">
      <w:pPr>
        <w:spacing w:line="360" w:lineRule="auto"/>
        <w:rPr>
          <w:rFonts w:eastAsiaTheme="minorEastAsia"/>
          <w:noProof/>
          <w:lang w:val="da-DK"/>
        </w:rPr>
      </w:pPr>
    </w:p>
    <w:p w14:paraId="3DB49B33" w14:textId="5F564F3A" w:rsidR="00744170" w:rsidRDefault="00744170" w:rsidP="0036205D">
      <w:pPr>
        <w:spacing w:line="360" w:lineRule="auto"/>
        <w:rPr>
          <w:rFonts w:eastAsiaTheme="minorEastAsia"/>
          <w:noProof/>
          <w:lang w:val="da-DK"/>
        </w:rPr>
      </w:pPr>
      <w:r>
        <w:rPr>
          <w:rFonts w:eastAsiaTheme="minorEastAsia"/>
          <w:noProof/>
          <w:lang w:val="da-DK"/>
        </w:rPr>
        <w:t xml:space="preserve">2) Friskfangst omsætning er uafhængig af bryggeriet, så vil invesoterne diversifikere, </w:t>
      </w:r>
      <w:r w:rsidR="00AB577D">
        <w:rPr>
          <w:rFonts w:eastAsiaTheme="minorEastAsia"/>
          <w:noProof/>
          <w:lang w:val="da-DK"/>
        </w:rPr>
        <w:t xml:space="preserve">kan de selv investrere i bryggerit uden om Friskfangst. Dog er der interesse for direktøren, da virksomhedens regnskab ikke ville have samme påvirkning fra fiskekvoterne. </w:t>
      </w:r>
    </w:p>
    <w:p w14:paraId="0D2A5152" w14:textId="2B7E63D3" w:rsidR="00AB577D" w:rsidRDefault="00AB577D" w:rsidP="0036205D">
      <w:pPr>
        <w:spacing w:line="360" w:lineRule="auto"/>
        <w:rPr>
          <w:rFonts w:eastAsiaTheme="minorEastAsia"/>
          <w:noProof/>
          <w:lang w:val="da-DK"/>
        </w:rPr>
      </w:pPr>
    </w:p>
    <w:p w14:paraId="2AC84F80" w14:textId="7A1167A0" w:rsidR="00AB577D" w:rsidRDefault="00AB577D" w:rsidP="0036205D">
      <w:pPr>
        <w:spacing w:line="360" w:lineRule="auto"/>
        <w:rPr>
          <w:rFonts w:eastAsiaTheme="minorEastAsia"/>
          <w:noProof/>
          <w:lang w:val="da-DK"/>
        </w:rPr>
      </w:pPr>
      <w:r>
        <w:rPr>
          <w:rFonts w:eastAsiaTheme="minorEastAsia"/>
          <w:noProof/>
          <w:lang w:val="da-DK"/>
        </w:rPr>
        <w:t xml:space="preserve">3) Er bryggeriet projekter rentable ville de lige så godt selv kunne finansiere det gennem en finansieringsplan i banken. Fordi Friskfangst går ind i firmaet, bliver det ikke mere rentabelt. </w:t>
      </w:r>
    </w:p>
    <w:p w14:paraId="7E7E17D2" w14:textId="4664DB49" w:rsidR="00AB577D" w:rsidRDefault="00AB577D" w:rsidP="0036205D">
      <w:pPr>
        <w:spacing w:line="360" w:lineRule="auto"/>
        <w:rPr>
          <w:rFonts w:eastAsiaTheme="minorEastAsia"/>
          <w:noProof/>
          <w:lang w:val="da-DK"/>
        </w:rPr>
      </w:pPr>
    </w:p>
    <w:p w14:paraId="263D4D12" w14:textId="77777777" w:rsidR="00AB577D" w:rsidRPr="00744170" w:rsidRDefault="00AB577D" w:rsidP="0036205D">
      <w:pPr>
        <w:spacing w:line="360" w:lineRule="auto"/>
        <w:rPr>
          <w:rFonts w:eastAsiaTheme="minorEastAsia"/>
          <w:noProof/>
          <w:lang w:val="da-DK"/>
        </w:rPr>
      </w:pPr>
    </w:p>
    <w:p w14:paraId="27AC5717" w14:textId="77777777" w:rsidR="00744170" w:rsidRPr="00744170" w:rsidRDefault="00744170" w:rsidP="0036205D">
      <w:pPr>
        <w:spacing w:line="360" w:lineRule="auto"/>
        <w:rPr>
          <w:rFonts w:eastAsiaTheme="minorEastAsia"/>
          <w:noProof/>
          <w:lang w:val="da-DK"/>
        </w:rPr>
      </w:pPr>
    </w:p>
    <w:p w14:paraId="21524899" w14:textId="77777777" w:rsidR="00744170" w:rsidRDefault="00744170" w:rsidP="0036205D">
      <w:pPr>
        <w:spacing w:line="360" w:lineRule="auto"/>
        <w:rPr>
          <w:rFonts w:eastAsiaTheme="minorEastAsia"/>
          <w:noProof/>
          <w:lang w:val="da-DK"/>
        </w:rPr>
      </w:pPr>
    </w:p>
    <w:p w14:paraId="2A1FF5D8" w14:textId="19FD3957" w:rsidR="00C50314" w:rsidRPr="00C50314" w:rsidRDefault="00C50314" w:rsidP="0036205D">
      <w:pPr>
        <w:spacing w:line="360" w:lineRule="auto"/>
        <w:rPr>
          <w:rFonts w:eastAsiaTheme="minorEastAsia"/>
          <w:noProof/>
          <w:lang w:val="da-DK"/>
        </w:rPr>
      </w:pPr>
    </w:p>
    <w:sectPr w:rsidR="00C50314" w:rsidRPr="00C503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E17912"/>
    <w:multiLevelType w:val="hybridMultilevel"/>
    <w:tmpl w:val="BE1A67A4"/>
    <w:lvl w:ilvl="0" w:tplc="309ACB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0E3"/>
    <w:rsid w:val="001620E3"/>
    <w:rsid w:val="001D7161"/>
    <w:rsid w:val="00247E82"/>
    <w:rsid w:val="002912B9"/>
    <w:rsid w:val="002B54E0"/>
    <w:rsid w:val="00357A3B"/>
    <w:rsid w:val="0036205D"/>
    <w:rsid w:val="00391317"/>
    <w:rsid w:val="003F26BF"/>
    <w:rsid w:val="00460B5D"/>
    <w:rsid w:val="00546585"/>
    <w:rsid w:val="00557648"/>
    <w:rsid w:val="00717769"/>
    <w:rsid w:val="00744170"/>
    <w:rsid w:val="0078216F"/>
    <w:rsid w:val="009716F3"/>
    <w:rsid w:val="009C6FA6"/>
    <w:rsid w:val="00A217B8"/>
    <w:rsid w:val="00A61717"/>
    <w:rsid w:val="00A676C2"/>
    <w:rsid w:val="00AA437F"/>
    <w:rsid w:val="00AB577D"/>
    <w:rsid w:val="00AE2D0C"/>
    <w:rsid w:val="00BC27C3"/>
    <w:rsid w:val="00C50314"/>
    <w:rsid w:val="00C83357"/>
    <w:rsid w:val="00C85F85"/>
    <w:rsid w:val="00D609ED"/>
    <w:rsid w:val="00D752AD"/>
    <w:rsid w:val="00E43501"/>
    <w:rsid w:val="00E55B09"/>
    <w:rsid w:val="00EB24FE"/>
    <w:rsid w:val="00F656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64DFB"/>
  <w15:chartTrackingRefBased/>
  <w15:docId w15:val="{4BBE29E3-7ACD-494A-AC76-2AEA35AEE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20E3"/>
    <w:rPr>
      <w:color w:val="808080"/>
    </w:rPr>
  </w:style>
  <w:style w:type="paragraph" w:styleId="ListParagraph">
    <w:name w:val="List Paragraph"/>
    <w:basedOn w:val="Normal"/>
    <w:uiPriority w:val="34"/>
    <w:qFormat/>
    <w:rsid w:val="00557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chart" Target="charts/chart4.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3"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3"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Japee/Downloads/Erhvervs&#248;konomi%20juni%2017/Erhvervso&#771;konomi%20Data%20juni%2017.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3"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Sammenhæng mellem NPV og kapitalomkostnin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Skabelon!$E$28:$I$28</c:f>
              <c:numCache>
                <c:formatCode>General</c:formatCode>
                <c:ptCount val="5"/>
                <c:pt idx="0">
                  <c:v>0</c:v>
                </c:pt>
                <c:pt idx="1">
                  <c:v>5</c:v>
                </c:pt>
                <c:pt idx="2">
                  <c:v>10</c:v>
                </c:pt>
                <c:pt idx="3">
                  <c:v>15</c:v>
                </c:pt>
                <c:pt idx="4">
                  <c:v>20</c:v>
                </c:pt>
              </c:numCache>
            </c:numRef>
          </c:xVal>
          <c:yVal>
            <c:numRef>
              <c:f>Skabelon!$E$29:$I$29</c:f>
              <c:numCache>
                <c:formatCode>_(* #,##0.00_);_(* \(#,##0.00\);_(* "-"??_);_(@_)</c:formatCode>
                <c:ptCount val="5"/>
                <c:pt idx="0">
                  <c:v>6293858</c:v>
                </c:pt>
                <c:pt idx="1">
                  <c:v>3517939.63</c:v>
                </c:pt>
                <c:pt idx="2">
                  <c:v>1423636.92</c:v>
                </c:pt>
                <c:pt idx="3">
                  <c:v>-187873.66</c:v>
                </c:pt>
                <c:pt idx="4">
                  <c:v>-1450302.14</c:v>
                </c:pt>
              </c:numCache>
            </c:numRef>
          </c:yVal>
          <c:smooth val="1"/>
          <c:extLst>
            <c:ext xmlns:c16="http://schemas.microsoft.com/office/drawing/2014/chart" uri="{C3380CC4-5D6E-409C-BE32-E72D297353CC}">
              <c16:uniqueId val="{00000000-AE28-E54B-882F-019B028BF1A3}"/>
            </c:ext>
          </c:extLst>
        </c:ser>
        <c:dLbls>
          <c:showLegendKey val="0"/>
          <c:showVal val="0"/>
          <c:showCatName val="0"/>
          <c:showSerName val="0"/>
          <c:showPercent val="0"/>
          <c:showBubbleSize val="0"/>
        </c:dLbls>
        <c:axId val="480162335"/>
        <c:axId val="2130630144"/>
      </c:scatterChart>
      <c:valAx>
        <c:axId val="4801623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630144"/>
        <c:crosses val="autoZero"/>
        <c:crossBetween val="midCat"/>
      </c:valAx>
      <c:valAx>
        <c:axId val="2130630144"/>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1623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Kapitalværdi og løn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Skabelon!$D$50</c:f>
              <c:strCache>
                <c:ptCount val="1"/>
                <c:pt idx="0">
                  <c:v>Kapitalværdi</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Skabelon!$E$49:$H$49</c:f>
              <c:numCache>
                <c:formatCode>_(* #,##0_);_(* \(#,##0\);_(* "-"??_);_(@_)</c:formatCode>
                <c:ptCount val="4"/>
                <c:pt idx="0" formatCode="General">
                  <c:v>232</c:v>
                </c:pt>
                <c:pt idx="1">
                  <c:v>400</c:v>
                </c:pt>
                <c:pt idx="2">
                  <c:v>500</c:v>
                </c:pt>
                <c:pt idx="3">
                  <c:v>571</c:v>
                </c:pt>
              </c:numCache>
            </c:numRef>
          </c:xVal>
          <c:yVal>
            <c:numRef>
              <c:f>Skabelon!$E$50:$H$50</c:f>
              <c:numCache>
                <c:formatCode>_(* #,##0.00_);_(* \(#,##0.00\);_(* "-"??_);_(@_)</c:formatCode>
                <c:ptCount val="4"/>
                <c:pt idx="0">
                  <c:v>2194071.94</c:v>
                </c:pt>
                <c:pt idx="1">
                  <c:v>1105982.25</c:v>
                </c:pt>
                <c:pt idx="2">
                  <c:v>458309.81</c:v>
                </c:pt>
                <c:pt idx="3">
                  <c:v>0</c:v>
                </c:pt>
              </c:numCache>
            </c:numRef>
          </c:yVal>
          <c:smooth val="1"/>
          <c:extLst>
            <c:ext xmlns:c16="http://schemas.microsoft.com/office/drawing/2014/chart" uri="{C3380CC4-5D6E-409C-BE32-E72D297353CC}">
              <c16:uniqueId val="{00000000-54B5-5C45-8E25-8EF2BD9B3F15}"/>
            </c:ext>
          </c:extLst>
        </c:ser>
        <c:dLbls>
          <c:showLegendKey val="0"/>
          <c:showVal val="0"/>
          <c:showCatName val="0"/>
          <c:showSerName val="0"/>
          <c:showPercent val="0"/>
          <c:showBubbleSize val="0"/>
        </c:dLbls>
        <c:axId val="12677695"/>
        <c:axId val="450265183"/>
      </c:scatterChart>
      <c:valAx>
        <c:axId val="12677695"/>
        <c:scaling>
          <c:orientation val="minMax"/>
          <c:min val="2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265183"/>
        <c:crosses val="autoZero"/>
        <c:crossBetween val="midCat"/>
      </c:valAx>
      <c:valAx>
        <c:axId val="450265183"/>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776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Data!$M$4:$M$24</c:f>
              <c:numCache>
                <c:formatCode>General</c:formatCode>
                <c:ptCount val="21"/>
                <c:pt idx="0">
                  <c:v>0</c:v>
                </c:pt>
                <c:pt idx="1">
                  <c:v>1.0000000000000009E-2</c:v>
                </c:pt>
                <c:pt idx="2">
                  <c:v>9.9999999999999978E-2</c:v>
                </c:pt>
                <c:pt idx="3">
                  <c:v>0.15000000000000002</c:v>
                </c:pt>
                <c:pt idx="4">
                  <c:v>0.19999999999999996</c:v>
                </c:pt>
                <c:pt idx="5">
                  <c:v>0.25</c:v>
                </c:pt>
                <c:pt idx="6">
                  <c:v>0.30000000000000004</c:v>
                </c:pt>
                <c:pt idx="7">
                  <c:v>0.35</c:v>
                </c:pt>
                <c:pt idx="8">
                  <c:v>0.4</c:v>
                </c:pt>
                <c:pt idx="9">
                  <c:v>0.44999999999999996</c:v>
                </c:pt>
                <c:pt idx="10">
                  <c:v>0.5</c:v>
                </c:pt>
                <c:pt idx="11">
                  <c:v>0.55000000000000004</c:v>
                </c:pt>
                <c:pt idx="12">
                  <c:v>0.60000000000000098</c:v>
                </c:pt>
                <c:pt idx="13">
                  <c:v>0.65000000000000102</c:v>
                </c:pt>
                <c:pt idx="14">
                  <c:v>0.70000000000000107</c:v>
                </c:pt>
                <c:pt idx="15">
                  <c:v>0.750000000000001</c:v>
                </c:pt>
                <c:pt idx="16">
                  <c:v>0.80000000000000093</c:v>
                </c:pt>
                <c:pt idx="17">
                  <c:v>0.85000000000000098</c:v>
                </c:pt>
                <c:pt idx="18">
                  <c:v>0.90000000000000102</c:v>
                </c:pt>
                <c:pt idx="19">
                  <c:v>0.95000000000000095</c:v>
                </c:pt>
                <c:pt idx="20">
                  <c:v>1</c:v>
                </c:pt>
              </c:numCache>
            </c:numRef>
          </c:xVal>
          <c:yVal>
            <c:numRef>
              <c:f>Data!$P$4:$P$24</c:f>
              <c:numCache>
                <c:formatCode>0.000</c:formatCode>
                <c:ptCount val="21"/>
                <c:pt idx="0">
                  <c:v>0.13158352990201699</c:v>
                </c:pt>
                <c:pt idx="1">
                  <c:v>0.13043033629685091</c:v>
                </c:pt>
                <c:pt idx="2">
                  <c:v>0.12085708476827979</c:v>
                </c:pt>
                <c:pt idx="3">
                  <c:v>0.11624967538168962</c:v>
                </c:pt>
                <c:pt idx="4">
                  <c:v>0.1122311779618862</c:v>
                </c:pt>
                <c:pt idx="5">
                  <c:v>0.10886682589191363</c:v>
                </c:pt>
                <c:pt idx="6">
                  <c:v>0.10621879516145534</c:v>
                </c:pt>
                <c:pt idx="7">
                  <c:v>0.10434163744174944</c:v>
                </c:pt>
                <c:pt idx="8">
                  <c:v>0.10327739518018007</c:v>
                </c:pt>
                <c:pt idx="9">
                  <c:v>0.10305125714460732</c:v>
                </c:pt>
                <c:pt idx="10">
                  <c:v>0.10366870808333724</c:v>
                </c:pt>
                <c:pt idx="11">
                  <c:v>0.10511488317529404</c:v>
                </c:pt>
                <c:pt idx="12">
                  <c:v>0.10735629691334619</c:v>
                </c:pt>
                <c:pt idx="13">
                  <c:v>0.11034449919067416</c:v>
                </c:pt>
                <c:pt idx="14">
                  <c:v>0.11402079068765544</c:v>
                </c:pt>
                <c:pt idx="15">
                  <c:v>0.11832105099744041</c:v>
                </c:pt>
                <c:pt idx="16">
                  <c:v>0.12317994845729947</c:v>
                </c:pt>
                <c:pt idx="17">
                  <c:v>0.12853414522005555</c:v>
                </c:pt>
                <c:pt idx="18">
                  <c:v>0.13432442616911122</c:v>
                </c:pt>
                <c:pt idx="19">
                  <c:v>0.14049688479313344</c:v>
                </c:pt>
                <c:pt idx="20">
                  <c:v>0.14700338771671989</c:v>
                </c:pt>
              </c:numCache>
            </c:numRef>
          </c:yVal>
          <c:smooth val="0"/>
          <c:extLst>
            <c:ext xmlns:c16="http://schemas.microsoft.com/office/drawing/2014/chart" uri="{C3380CC4-5D6E-409C-BE32-E72D297353CC}">
              <c16:uniqueId val="{00000000-2C28-8E4F-BBC7-17B13267D1C6}"/>
            </c:ext>
          </c:extLst>
        </c:ser>
        <c:dLbls>
          <c:showLegendKey val="0"/>
          <c:showVal val="0"/>
          <c:showCatName val="0"/>
          <c:showSerName val="0"/>
          <c:showPercent val="0"/>
          <c:showBubbleSize val="0"/>
        </c:dLbls>
        <c:axId val="68273423"/>
        <c:axId val="34227679"/>
      </c:scatterChart>
      <c:valAx>
        <c:axId val="6827342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227679"/>
        <c:crosses val="autoZero"/>
        <c:crossBetween val="midCat"/>
      </c:valAx>
      <c:valAx>
        <c:axId val="34227679"/>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7342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spPr>
            <a:ln w="28575" cap="rnd">
              <a:solidFill>
                <a:schemeClr val="accent2"/>
              </a:solidFill>
              <a:round/>
            </a:ln>
            <a:effectLst/>
          </c:spPr>
          <c:marker>
            <c:symbol val="none"/>
          </c:marker>
          <c:cat>
            <c:numRef>
              <c:f>Skabelon!$D$70:$D$78</c:f>
              <c:numCache>
                <c:formatCode>General</c:formatCode>
                <c:ptCount val="9"/>
                <c:pt idx="0">
                  <c:v>25000</c:v>
                </c:pt>
                <c:pt idx="1">
                  <c:v>50000</c:v>
                </c:pt>
                <c:pt idx="2">
                  <c:v>75000</c:v>
                </c:pt>
                <c:pt idx="3">
                  <c:v>100000</c:v>
                </c:pt>
                <c:pt idx="4">
                  <c:v>125000</c:v>
                </c:pt>
                <c:pt idx="5">
                  <c:v>150000</c:v>
                </c:pt>
                <c:pt idx="6">
                  <c:v>175000</c:v>
                </c:pt>
                <c:pt idx="7">
                  <c:v>200000</c:v>
                </c:pt>
                <c:pt idx="8">
                  <c:v>225000</c:v>
                </c:pt>
              </c:numCache>
            </c:numRef>
          </c:cat>
          <c:val>
            <c:numRef>
              <c:f>Skabelon!$E$70:$E$78</c:f>
              <c:numCache>
                <c:formatCode>General</c:formatCode>
                <c:ptCount val="9"/>
                <c:pt idx="0">
                  <c:v>46</c:v>
                </c:pt>
                <c:pt idx="1">
                  <c:v>26</c:v>
                </c:pt>
                <c:pt idx="2">
                  <c:v>19.333333333333336</c:v>
                </c:pt>
                <c:pt idx="3" formatCode="0.0">
                  <c:v>16</c:v>
                </c:pt>
                <c:pt idx="4">
                  <c:v>14</c:v>
                </c:pt>
                <c:pt idx="5">
                  <c:v>12.666666666666668</c:v>
                </c:pt>
                <c:pt idx="6">
                  <c:v>11.714285714285715</c:v>
                </c:pt>
                <c:pt idx="7">
                  <c:v>11</c:v>
                </c:pt>
                <c:pt idx="8">
                  <c:v>11</c:v>
                </c:pt>
              </c:numCache>
            </c:numRef>
          </c:val>
          <c:smooth val="0"/>
          <c:extLst>
            <c:ext xmlns:c16="http://schemas.microsoft.com/office/drawing/2014/chart" uri="{C3380CC4-5D6E-409C-BE32-E72D297353CC}">
              <c16:uniqueId val="{00000000-7A04-7741-A58F-A652A7C163C7}"/>
            </c:ext>
          </c:extLst>
        </c:ser>
        <c:dLbls>
          <c:showLegendKey val="0"/>
          <c:showVal val="0"/>
          <c:showCatName val="0"/>
          <c:showSerName val="0"/>
          <c:showPercent val="0"/>
          <c:showBubbleSize val="0"/>
        </c:dLbls>
        <c:smooth val="0"/>
        <c:axId val="399874655"/>
        <c:axId val="54994879"/>
      </c:lineChart>
      <c:catAx>
        <c:axId val="3998746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94879"/>
        <c:crosses val="autoZero"/>
        <c:auto val="1"/>
        <c:lblAlgn val="ctr"/>
        <c:lblOffset val="100"/>
        <c:noMultiLvlLbl val="0"/>
      </c:catAx>
      <c:valAx>
        <c:axId val="54994879"/>
        <c:scaling>
          <c:orientation val="minMax"/>
          <c:min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8746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7</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Vanderhaegen</dc:creator>
  <cp:keywords/>
  <dc:description/>
  <cp:lastModifiedBy>Jeppe Vanderhaegen</cp:lastModifiedBy>
  <cp:revision>1</cp:revision>
  <dcterms:created xsi:type="dcterms:W3CDTF">2021-05-30T08:51:00Z</dcterms:created>
  <dcterms:modified xsi:type="dcterms:W3CDTF">2021-05-31T07:05:00Z</dcterms:modified>
</cp:coreProperties>
</file>