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80343" w14:textId="6481B651" w:rsidR="0078216F" w:rsidRPr="00140C7F" w:rsidRDefault="00140C7F" w:rsidP="00C85F85">
      <w:pPr>
        <w:rPr>
          <w:b/>
          <w:bCs/>
          <w:lang w:val="da-DK"/>
        </w:rPr>
      </w:pPr>
      <w:r w:rsidRPr="00140C7F">
        <w:rPr>
          <w:b/>
          <w:bCs/>
          <w:lang w:val="da-DK"/>
        </w:rPr>
        <w:t xml:space="preserve">2.1 </w:t>
      </w:r>
    </w:p>
    <w:p w14:paraId="5F3C2F7E" w14:textId="2221F44E" w:rsidR="00140C7F" w:rsidRPr="00140C7F" w:rsidRDefault="00140C7F" w:rsidP="00C85F85">
      <w:pPr>
        <w:rPr>
          <w:b/>
          <w:bCs/>
          <w:lang w:val="da-DK"/>
        </w:rPr>
      </w:pPr>
      <w:r w:rsidRPr="00140C7F">
        <w:rPr>
          <w:b/>
          <w:bCs/>
          <w:noProof/>
          <w:lang w:val="da-DK"/>
        </w:rPr>
        <w:drawing>
          <wp:inline distT="0" distB="0" distL="0" distR="0" wp14:anchorId="541F7370" wp14:editId="0ACAD389">
            <wp:extent cx="5731510" cy="1555750"/>
            <wp:effectExtent l="0" t="0" r="0" b="635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555750"/>
                    </a:xfrm>
                    <a:prstGeom prst="rect">
                      <a:avLst/>
                    </a:prstGeom>
                  </pic:spPr>
                </pic:pic>
              </a:graphicData>
            </a:graphic>
          </wp:inline>
        </w:drawing>
      </w:r>
    </w:p>
    <w:p w14:paraId="5B6B9592" w14:textId="4955E15A" w:rsidR="00140C7F" w:rsidRPr="00140C7F" w:rsidRDefault="00140C7F" w:rsidP="00C85F85">
      <w:pPr>
        <w:rPr>
          <w:b/>
          <w:bCs/>
          <w:lang w:val="da-DK"/>
        </w:rPr>
      </w:pPr>
    </w:p>
    <w:p w14:paraId="7B8167FD" w14:textId="77777777" w:rsidR="00140C7F" w:rsidRDefault="00140C7F" w:rsidP="00C85F85">
      <w:pPr>
        <w:rPr>
          <w:rFonts w:eastAsiaTheme="minorEastAsia"/>
          <w:lang w:val="da-DK"/>
        </w:rPr>
      </w:pPr>
      <w:r w:rsidRPr="00140C7F">
        <w:rPr>
          <w:lang w:val="da-DK"/>
        </w:rPr>
        <w:t xml:space="preserve">Kapitalværdien af investeringen er </w:t>
      </w:r>
      <m:oMath>
        <m:r>
          <w:rPr>
            <w:rFonts w:ascii="Cambria Math" w:hAnsi="Cambria Math"/>
            <w:lang w:val="da-DK"/>
          </w:rPr>
          <m:t>314,848 DKK</m:t>
        </m:r>
      </m:oMath>
      <w:r>
        <w:rPr>
          <w:rFonts w:eastAsiaTheme="minorEastAsia"/>
          <w:lang w:val="da-DK"/>
        </w:rPr>
        <w:t xml:space="preserve">. Man kan se dette som fortjenesten ved at foretage investeringen kontra det næstbedste alternativ. Når kapitalværdien er positiv, skal investeringen gennemføres. </w:t>
      </w:r>
    </w:p>
    <w:p w14:paraId="678EF8A8" w14:textId="77777777" w:rsidR="00140C7F" w:rsidRDefault="00140C7F" w:rsidP="00C85F85">
      <w:pPr>
        <w:rPr>
          <w:rFonts w:eastAsiaTheme="minorEastAsia"/>
          <w:lang w:val="da-DK"/>
        </w:rPr>
      </w:pPr>
    </w:p>
    <w:p w14:paraId="193F2C08" w14:textId="77777777" w:rsidR="00140C7F" w:rsidRDefault="00140C7F" w:rsidP="00C85F85">
      <w:pPr>
        <w:rPr>
          <w:rFonts w:eastAsiaTheme="minorEastAsia"/>
          <w:lang w:val="da-DK"/>
        </w:rPr>
      </w:pPr>
      <w:r>
        <w:rPr>
          <w:rFonts w:eastAsiaTheme="minorEastAsia"/>
          <w:b/>
          <w:bCs/>
          <w:lang w:val="da-DK"/>
        </w:rPr>
        <w:t>2.2</w:t>
      </w:r>
    </w:p>
    <w:p w14:paraId="7EB305F8" w14:textId="5C1CD2C5" w:rsidR="00140C7F" w:rsidRDefault="00140C7F" w:rsidP="00C85F85">
      <w:pPr>
        <w:rPr>
          <w:rFonts w:eastAsiaTheme="minorEastAsia"/>
          <w:lang w:val="da-DK"/>
        </w:rPr>
      </w:pPr>
      <w:r>
        <w:rPr>
          <w:rFonts w:eastAsiaTheme="minorEastAsia"/>
          <w:lang w:val="da-DK"/>
        </w:rPr>
        <w:t xml:space="preserve"> </w:t>
      </w:r>
      <w:r>
        <w:rPr>
          <w:noProof/>
          <w:lang w:val="da-DK"/>
        </w:rPr>
        <w:drawing>
          <wp:inline distT="0" distB="0" distL="0" distR="0" wp14:anchorId="52DED7A5" wp14:editId="0C4C09B3">
            <wp:extent cx="5257800" cy="29591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57800" cy="2959100"/>
                    </a:xfrm>
                    <a:prstGeom prst="rect">
                      <a:avLst/>
                    </a:prstGeom>
                  </pic:spPr>
                </pic:pic>
              </a:graphicData>
            </a:graphic>
          </wp:inline>
        </w:drawing>
      </w:r>
    </w:p>
    <w:p w14:paraId="58CEB8FD" w14:textId="4AE4715B" w:rsidR="00140C7F" w:rsidRDefault="00140C7F" w:rsidP="00C85F85">
      <w:pPr>
        <w:rPr>
          <w:rFonts w:eastAsiaTheme="minorEastAsia"/>
          <w:lang w:val="da-DK"/>
        </w:rPr>
      </w:pPr>
    </w:p>
    <w:p w14:paraId="38DD86D4" w14:textId="49A5B86A" w:rsidR="00140C7F" w:rsidRDefault="00140C7F" w:rsidP="00C85F85">
      <w:pPr>
        <w:rPr>
          <w:rFonts w:eastAsiaTheme="minorEastAsia"/>
          <w:lang w:val="da-DK"/>
        </w:rPr>
      </w:pPr>
      <w:r>
        <w:rPr>
          <w:rFonts w:eastAsiaTheme="minorEastAsia"/>
          <w:lang w:val="da-DK"/>
        </w:rPr>
        <w:t xml:space="preserve">Figuren illustrerer sammenhængen mellem det producerede antal poser og investeringens kapitalværdi. Irrelevant for omkostningerne til energi og løn om de er faste eller variable kan kapitalværdien ikke øges, da indtægten er større end de variable omkostninger i begge tilfælde.  </w:t>
      </w:r>
    </w:p>
    <w:p w14:paraId="75A0A8F3" w14:textId="2F7E6871" w:rsidR="00140C7F" w:rsidRDefault="00140C7F" w:rsidP="00C85F85">
      <w:pPr>
        <w:rPr>
          <w:rFonts w:eastAsiaTheme="minorEastAsia"/>
          <w:lang w:val="da-DK"/>
        </w:rPr>
      </w:pPr>
    </w:p>
    <w:p w14:paraId="563768CF" w14:textId="77777777" w:rsidR="00284E14" w:rsidRDefault="00284E14" w:rsidP="00C85F85">
      <w:pPr>
        <w:rPr>
          <w:rFonts w:eastAsiaTheme="minorEastAsia"/>
          <w:b/>
          <w:bCs/>
          <w:lang w:val="da-DK"/>
        </w:rPr>
      </w:pPr>
    </w:p>
    <w:p w14:paraId="2F555150" w14:textId="77777777" w:rsidR="00284E14" w:rsidRDefault="00284E14" w:rsidP="00C85F85">
      <w:pPr>
        <w:rPr>
          <w:rFonts w:eastAsiaTheme="minorEastAsia"/>
          <w:b/>
          <w:bCs/>
          <w:lang w:val="da-DK"/>
        </w:rPr>
      </w:pPr>
    </w:p>
    <w:p w14:paraId="37F0F008" w14:textId="77777777" w:rsidR="00284E14" w:rsidRDefault="00284E14" w:rsidP="00C85F85">
      <w:pPr>
        <w:rPr>
          <w:rFonts w:eastAsiaTheme="minorEastAsia"/>
          <w:b/>
          <w:bCs/>
          <w:lang w:val="da-DK"/>
        </w:rPr>
      </w:pPr>
    </w:p>
    <w:p w14:paraId="6171082E" w14:textId="77777777" w:rsidR="00284E14" w:rsidRDefault="00284E14" w:rsidP="00C85F85">
      <w:pPr>
        <w:rPr>
          <w:rFonts w:eastAsiaTheme="minorEastAsia"/>
          <w:b/>
          <w:bCs/>
          <w:lang w:val="da-DK"/>
        </w:rPr>
      </w:pPr>
    </w:p>
    <w:p w14:paraId="4D76B1E4" w14:textId="77777777" w:rsidR="00284E14" w:rsidRDefault="00284E14" w:rsidP="00C85F85">
      <w:pPr>
        <w:rPr>
          <w:rFonts w:eastAsiaTheme="minorEastAsia"/>
          <w:b/>
          <w:bCs/>
          <w:lang w:val="da-DK"/>
        </w:rPr>
      </w:pPr>
    </w:p>
    <w:p w14:paraId="7AB8FBDF" w14:textId="77777777" w:rsidR="00284E14" w:rsidRDefault="00284E14" w:rsidP="00C85F85">
      <w:pPr>
        <w:rPr>
          <w:rFonts w:eastAsiaTheme="minorEastAsia"/>
          <w:b/>
          <w:bCs/>
          <w:lang w:val="da-DK"/>
        </w:rPr>
      </w:pPr>
    </w:p>
    <w:p w14:paraId="104902C4" w14:textId="77777777" w:rsidR="00284E14" w:rsidRDefault="00284E14" w:rsidP="00C85F85">
      <w:pPr>
        <w:rPr>
          <w:rFonts w:eastAsiaTheme="minorEastAsia"/>
          <w:b/>
          <w:bCs/>
          <w:lang w:val="da-DK"/>
        </w:rPr>
      </w:pPr>
    </w:p>
    <w:p w14:paraId="66131EF1" w14:textId="77777777" w:rsidR="00284E14" w:rsidRDefault="00284E14" w:rsidP="00C85F85">
      <w:pPr>
        <w:rPr>
          <w:rFonts w:eastAsiaTheme="minorEastAsia"/>
          <w:b/>
          <w:bCs/>
          <w:lang w:val="da-DK"/>
        </w:rPr>
      </w:pPr>
    </w:p>
    <w:p w14:paraId="66E2DE0A" w14:textId="77777777" w:rsidR="00284E14" w:rsidRDefault="00284E14" w:rsidP="00C85F85">
      <w:pPr>
        <w:rPr>
          <w:rFonts w:eastAsiaTheme="minorEastAsia"/>
          <w:b/>
          <w:bCs/>
          <w:lang w:val="da-DK"/>
        </w:rPr>
      </w:pPr>
    </w:p>
    <w:p w14:paraId="7A0A25AF" w14:textId="77777777" w:rsidR="00284E14" w:rsidRDefault="00284E14" w:rsidP="00C85F85">
      <w:pPr>
        <w:rPr>
          <w:rFonts w:eastAsiaTheme="minorEastAsia"/>
          <w:b/>
          <w:bCs/>
          <w:lang w:val="da-DK"/>
        </w:rPr>
      </w:pPr>
    </w:p>
    <w:p w14:paraId="1F797BC3" w14:textId="286D094A" w:rsidR="00140C7F" w:rsidRDefault="00140C7F" w:rsidP="00C85F85">
      <w:pPr>
        <w:rPr>
          <w:rFonts w:eastAsiaTheme="minorEastAsia"/>
          <w:lang w:val="da-DK"/>
        </w:rPr>
      </w:pPr>
      <w:r>
        <w:rPr>
          <w:rFonts w:eastAsiaTheme="minorEastAsia"/>
          <w:b/>
          <w:bCs/>
          <w:lang w:val="da-DK"/>
        </w:rPr>
        <w:lastRenderedPageBreak/>
        <w:t>2.3</w:t>
      </w:r>
    </w:p>
    <w:p w14:paraId="65A0D477" w14:textId="46B9AE48" w:rsidR="00140C7F" w:rsidRDefault="00140C7F" w:rsidP="00C85F85">
      <w:pPr>
        <w:rPr>
          <w:rFonts w:eastAsiaTheme="minorEastAsia"/>
          <w:lang w:val="da-DK"/>
        </w:rPr>
      </w:pPr>
      <w:r>
        <w:rPr>
          <w:noProof/>
        </w:rPr>
        <w:drawing>
          <wp:inline distT="0" distB="0" distL="0" distR="0" wp14:anchorId="4828EAE9" wp14:editId="09A6E9E5">
            <wp:extent cx="5731510" cy="3796030"/>
            <wp:effectExtent l="0" t="0" r="8890" b="13970"/>
            <wp:docPr id="3" name="Chart 3">
              <a:extLst xmlns:a="http://schemas.openxmlformats.org/drawingml/2006/main">
                <a:ext uri="{FF2B5EF4-FFF2-40B4-BE49-F238E27FC236}">
                  <a16:creationId xmlns:a16="http://schemas.microsoft.com/office/drawing/2014/main" id="{AD6FFB7D-C4FD-2B4E-9901-2F852AA71B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5FDA72" w14:textId="644C1C88" w:rsidR="00284E14" w:rsidRDefault="00284E14" w:rsidP="00C85F85">
      <w:pPr>
        <w:rPr>
          <w:rFonts w:eastAsiaTheme="minorEastAsia"/>
          <w:lang w:val="da-DK"/>
        </w:rPr>
      </w:pPr>
    </w:p>
    <w:p w14:paraId="56EF746E" w14:textId="27AB6C44" w:rsidR="00284E14" w:rsidRDefault="00284E14" w:rsidP="00C85F85">
      <w:pPr>
        <w:rPr>
          <w:rFonts w:eastAsiaTheme="minorEastAsia"/>
          <w:lang w:val="da-DK"/>
        </w:rPr>
      </w:pPr>
      <w:r>
        <w:rPr>
          <w:rFonts w:eastAsiaTheme="minorEastAsia"/>
          <w:lang w:val="da-DK"/>
        </w:rPr>
        <w:t xml:space="preserve">Sammenhængen er negativ, da investeringen har en konventionel tidsprofil. En konventionel tidsprofil er når en negativ </w:t>
      </w:r>
      <w:proofErr w:type="spellStart"/>
      <w:r>
        <w:rPr>
          <w:rFonts w:eastAsiaTheme="minorEastAsia"/>
          <w:lang w:val="da-DK"/>
        </w:rPr>
        <w:t>cashflow</w:t>
      </w:r>
      <w:proofErr w:type="spellEnd"/>
      <w:r>
        <w:rPr>
          <w:rFonts w:eastAsiaTheme="minorEastAsia"/>
          <w:lang w:val="da-DK"/>
        </w:rPr>
        <w:t xml:space="preserve"> i første år, efterfulgt af positive cashflows i de efterfølgende år. Dette betyder at en højere diskonteringsrente reducerer nutidsværdi og dermed kapitalværdien. Figuren viser, at </w:t>
      </w:r>
      <w:r w:rsidR="004E1E01">
        <w:rPr>
          <w:rFonts w:eastAsiaTheme="minorEastAsia"/>
          <w:lang w:val="da-DK"/>
        </w:rPr>
        <w:t xml:space="preserve">alle ved at diskonteringsrenter over 21,4% er der ingen positive NNV, og derved skal investeringen ikke gennemføres, hvis den er over 21,4%. Investeringen skal derimod gennemføres, hvis diskonteringsrenten er mindre 21,4%, da dette vil give en positiv kapitalværdi. </w:t>
      </w:r>
    </w:p>
    <w:p w14:paraId="38D6FA14" w14:textId="7067ECF2" w:rsidR="00284E14" w:rsidRPr="00FA031A" w:rsidRDefault="00284E14" w:rsidP="00FA031A">
      <w:pPr>
        <w:rPr>
          <w:rFonts w:eastAsiaTheme="minorEastAsia"/>
          <w:lang w:val="da-DK"/>
        </w:rPr>
      </w:pPr>
    </w:p>
    <w:p w14:paraId="25F51880" w14:textId="0C1719A7" w:rsidR="00284E14" w:rsidRDefault="00FA031A" w:rsidP="00C85F85">
      <w:pPr>
        <w:rPr>
          <w:rFonts w:eastAsiaTheme="minorEastAsia"/>
          <w:lang w:val="da-DK"/>
        </w:rPr>
      </w:pPr>
      <w:r>
        <w:rPr>
          <w:rFonts w:eastAsiaTheme="minorEastAsia"/>
          <w:lang w:val="da-DK"/>
        </w:rPr>
        <w:t xml:space="preserve">Terminalværdien af de positive cashflows er lig </w:t>
      </w:r>
      <m:oMath>
        <m:r>
          <w:rPr>
            <w:rFonts w:ascii="Cambria Math" w:eastAsiaTheme="minorEastAsia" w:hAnsi="Cambria Math"/>
            <w:lang w:val="da-DK"/>
          </w:rPr>
          <m:t>5.026.065 DKK</m:t>
        </m:r>
      </m:oMath>
      <w:r>
        <w:rPr>
          <w:rFonts w:eastAsiaTheme="minorEastAsia"/>
          <w:lang w:val="da-DK"/>
        </w:rPr>
        <w:t xml:space="preserve">. Mens den interne rente er beregnet til 18,03% </w:t>
      </w:r>
    </w:p>
    <w:p w14:paraId="6D3FC6C0" w14:textId="42B89E99" w:rsidR="00FA031A" w:rsidRDefault="00FA031A" w:rsidP="00C85F85">
      <w:pPr>
        <w:rPr>
          <w:rFonts w:eastAsiaTheme="minorEastAsia"/>
          <w:lang w:val="da-DK"/>
        </w:rPr>
      </w:pPr>
    </w:p>
    <w:p w14:paraId="3FA92E52" w14:textId="7732FE98" w:rsidR="00FA031A" w:rsidRDefault="00FA031A" w:rsidP="00C85F85">
      <w:pPr>
        <w:rPr>
          <w:rFonts w:eastAsiaTheme="minorEastAsia"/>
          <w:lang w:val="da-DK"/>
        </w:rPr>
      </w:pPr>
      <w:r>
        <w:rPr>
          <w:rFonts w:eastAsiaTheme="minorEastAsia"/>
          <w:lang w:val="da-DK"/>
        </w:rPr>
        <w:t xml:space="preserve">Terminalværdien beskriver alle de positive cashflows fremdiskonteret til år 7, mens den modificeret interne rente beskriver diskonteringsrente, der giver en nutidsværdi lig 0, når man geninvester alle de positive cashflows. (Altså en terminalværdi på initialinvesteringen) </w:t>
      </w:r>
    </w:p>
    <w:p w14:paraId="7A5E0733" w14:textId="77777777" w:rsidR="00FA031A" w:rsidRDefault="00FA031A" w:rsidP="00C85F85">
      <w:pPr>
        <w:rPr>
          <w:rFonts w:eastAsiaTheme="minorEastAsia"/>
          <w:lang w:val="da-DK"/>
        </w:rPr>
      </w:pPr>
    </w:p>
    <w:p w14:paraId="6408C4E5" w14:textId="5E1CCD8D" w:rsidR="00284E14" w:rsidRDefault="00FA031A" w:rsidP="00C85F85">
      <w:pPr>
        <w:rPr>
          <w:rFonts w:eastAsiaTheme="minorEastAsia"/>
          <w:lang w:val="da-DK"/>
        </w:rPr>
      </w:pPr>
      <w:r>
        <w:rPr>
          <w:rFonts w:eastAsiaTheme="minorEastAsia"/>
          <w:noProof/>
          <w:lang w:val="da-DK"/>
        </w:rPr>
        <w:drawing>
          <wp:inline distT="0" distB="0" distL="0" distR="0" wp14:anchorId="7C3ED735" wp14:editId="68EDB21C">
            <wp:extent cx="3708400" cy="5842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08400" cy="584200"/>
                    </a:xfrm>
                    <a:prstGeom prst="rect">
                      <a:avLst/>
                    </a:prstGeom>
                  </pic:spPr>
                </pic:pic>
              </a:graphicData>
            </a:graphic>
          </wp:inline>
        </w:drawing>
      </w:r>
    </w:p>
    <w:p w14:paraId="12069449" w14:textId="217363E0" w:rsidR="00D531EC" w:rsidRDefault="00D531EC" w:rsidP="00C85F85">
      <w:pPr>
        <w:rPr>
          <w:rFonts w:eastAsiaTheme="minorEastAsia"/>
          <w:lang w:val="da-DK"/>
        </w:rPr>
      </w:pPr>
    </w:p>
    <w:p w14:paraId="62CB5A6B" w14:textId="75EC2039" w:rsidR="00D531EC" w:rsidRDefault="00D531EC" w:rsidP="00C85F85">
      <w:pPr>
        <w:rPr>
          <w:rFonts w:eastAsiaTheme="minorEastAsia"/>
          <w:lang w:val="da-DK"/>
        </w:rPr>
      </w:pPr>
      <w:r>
        <w:rPr>
          <w:rFonts w:eastAsiaTheme="minorEastAsia"/>
          <w:b/>
          <w:bCs/>
          <w:lang w:val="da-DK"/>
        </w:rPr>
        <w:t>2.4</w:t>
      </w:r>
    </w:p>
    <w:p w14:paraId="7E9D17A6" w14:textId="75CCE4E4" w:rsidR="00D531EC" w:rsidRDefault="00E83E00" w:rsidP="00C85F85">
      <w:pPr>
        <w:rPr>
          <w:rFonts w:eastAsiaTheme="minorEastAsia"/>
          <w:lang w:val="da-DK"/>
        </w:rPr>
      </w:pPr>
      <w:r>
        <w:rPr>
          <w:rFonts w:eastAsiaTheme="minorEastAsia"/>
          <w:lang w:val="da-DK"/>
        </w:rPr>
        <w:t>Ved normal afsætning første år og derefter et årligt fald på 6,88% vil kapitalværdien være lig 0.</w:t>
      </w:r>
    </w:p>
    <w:p w14:paraId="5075F92F" w14:textId="48F1B129" w:rsidR="00E83E00" w:rsidRDefault="00E83E00" w:rsidP="00C85F85">
      <w:pPr>
        <w:rPr>
          <w:rFonts w:eastAsiaTheme="minorEastAsia"/>
          <w:lang w:val="da-DK"/>
        </w:rPr>
      </w:pPr>
    </w:p>
    <w:p w14:paraId="1CF1FBB1" w14:textId="0A51718C" w:rsidR="00E83E00" w:rsidRDefault="00E83E00" w:rsidP="00C85F85">
      <w:pPr>
        <w:rPr>
          <w:rFonts w:eastAsiaTheme="minorEastAsia"/>
          <w:lang w:val="da-DK"/>
        </w:rPr>
      </w:pPr>
    </w:p>
    <w:p w14:paraId="717DBCD5" w14:textId="77777777" w:rsidR="00E83E00" w:rsidRDefault="00E83E00" w:rsidP="00C85F85">
      <w:pPr>
        <w:rPr>
          <w:rFonts w:eastAsiaTheme="minorEastAsia"/>
          <w:lang w:val="da-DK"/>
        </w:rPr>
      </w:pPr>
    </w:p>
    <w:p w14:paraId="5585675C" w14:textId="77777777" w:rsidR="00E83E00" w:rsidRDefault="00E83E00" w:rsidP="00C85F85">
      <w:pPr>
        <w:rPr>
          <w:rFonts w:eastAsiaTheme="minorEastAsia"/>
          <w:b/>
          <w:bCs/>
          <w:lang w:val="da-DK"/>
        </w:rPr>
      </w:pPr>
      <w:r>
        <w:rPr>
          <w:rFonts w:eastAsiaTheme="minorEastAsia"/>
          <w:b/>
          <w:bCs/>
          <w:lang w:val="da-DK"/>
        </w:rPr>
        <w:lastRenderedPageBreak/>
        <w:t>2.5</w:t>
      </w:r>
    </w:p>
    <w:p w14:paraId="4480AF96" w14:textId="2BF38E76" w:rsidR="00E83E00" w:rsidRDefault="00E83E00" w:rsidP="00C85F85">
      <w:pPr>
        <w:rPr>
          <w:rFonts w:eastAsiaTheme="minorEastAsia"/>
          <w:lang w:val="da-DK"/>
        </w:rPr>
      </w:pPr>
      <w:r>
        <w:rPr>
          <w:rFonts w:eastAsiaTheme="minorEastAsia"/>
          <w:lang w:val="da-DK"/>
        </w:rPr>
        <w:t xml:space="preserve">Ved at forlænge investeringen et ekstra år bliver kapitalværdien </w:t>
      </w:r>
      <m:oMath>
        <m:r>
          <w:rPr>
            <w:rFonts w:ascii="Cambria Math" w:eastAsiaTheme="minorEastAsia" w:hAnsi="Cambria Math"/>
            <w:lang w:val="da-DK"/>
          </w:rPr>
          <m:t>402.953 DKK</m:t>
        </m:r>
      </m:oMath>
      <w:r>
        <w:rPr>
          <w:rFonts w:eastAsiaTheme="minorEastAsia"/>
          <w:lang w:val="da-DK"/>
        </w:rPr>
        <w:t xml:space="preserve">, hvilket er større end ved syv år, hvor kapitalværdien var </w:t>
      </w:r>
      <m:oMath>
        <m:r>
          <w:rPr>
            <w:rFonts w:ascii="Cambria Math" w:eastAsiaTheme="minorEastAsia" w:hAnsi="Cambria Math"/>
            <w:lang w:val="da-DK"/>
          </w:rPr>
          <m:t>314.484 DKK</m:t>
        </m:r>
      </m:oMath>
      <w:r>
        <w:rPr>
          <w:rFonts w:eastAsiaTheme="minorEastAsia"/>
          <w:lang w:val="da-DK"/>
        </w:rPr>
        <w:t xml:space="preserve">. Derfor kan skal man forlænge investeringens levetid. Dette er både hvis investeringen er uendelig genanskaffelig eller ej, da annuitetsværdien er </w:t>
      </w:r>
      <m:oMath>
        <m:r>
          <w:rPr>
            <w:rFonts w:ascii="Cambria Math" w:eastAsiaTheme="minorEastAsia" w:hAnsi="Cambria Math"/>
            <w:lang w:val="da-DK"/>
          </w:rPr>
          <m:t xml:space="preserve">75.589 DKK </m:t>
        </m:r>
      </m:oMath>
      <w:r>
        <w:rPr>
          <w:rFonts w:eastAsiaTheme="minorEastAsia"/>
          <w:lang w:val="da-DK"/>
        </w:rPr>
        <w:t xml:space="preserve">ved 7 år og </w:t>
      </w:r>
      <m:oMath>
        <m:r>
          <w:rPr>
            <w:rFonts w:ascii="Cambria Math" w:eastAsiaTheme="minorEastAsia" w:hAnsi="Cambria Math"/>
            <w:lang w:val="da-DK"/>
          </w:rPr>
          <m:t>89.798 DKK</m:t>
        </m:r>
      </m:oMath>
      <w:r>
        <w:rPr>
          <w:rFonts w:eastAsiaTheme="minorEastAsia"/>
          <w:lang w:val="da-DK"/>
        </w:rPr>
        <w:t xml:space="preserve"> ved 8 år. Dette er blandt andet pga. højere NPV.</w:t>
      </w:r>
    </w:p>
    <w:p w14:paraId="0DAF7B91" w14:textId="77777777" w:rsidR="00E83E00" w:rsidRDefault="00E83E00" w:rsidP="00C85F85">
      <w:pPr>
        <w:rPr>
          <w:rFonts w:eastAsiaTheme="minorEastAsia"/>
          <w:lang w:val="da-DK"/>
        </w:rPr>
      </w:pPr>
    </w:p>
    <w:p w14:paraId="75494E8D" w14:textId="17DCD3A1" w:rsidR="00E83E00" w:rsidRPr="00E83E00" w:rsidRDefault="00E83E00" w:rsidP="00C85F85">
      <w:pPr>
        <w:rPr>
          <w:rFonts w:eastAsiaTheme="minorEastAsia"/>
          <w:lang w:val="da-DK"/>
        </w:rPr>
      </w:pPr>
      <w:r>
        <w:rPr>
          <w:rFonts w:eastAsiaTheme="minorEastAsia"/>
          <w:lang w:val="da-DK"/>
        </w:rPr>
        <w:t xml:space="preserve"> </w:t>
      </w:r>
      <w:r>
        <w:rPr>
          <w:rFonts w:eastAsiaTheme="minorEastAsia"/>
          <w:b/>
          <w:bCs/>
          <w:lang w:val="da-DK"/>
        </w:rPr>
        <w:t xml:space="preserve"> </w:t>
      </w:r>
    </w:p>
    <w:sectPr w:rsidR="00E83E00" w:rsidRPr="00E83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8122A"/>
    <w:multiLevelType w:val="hybridMultilevel"/>
    <w:tmpl w:val="93EE9DB0"/>
    <w:lvl w:ilvl="0" w:tplc="72549C6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C70413"/>
    <w:multiLevelType w:val="hybridMultilevel"/>
    <w:tmpl w:val="29FACDD0"/>
    <w:lvl w:ilvl="0" w:tplc="CCCC608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95"/>
    <w:rsid w:val="00140C7F"/>
    <w:rsid w:val="00284E14"/>
    <w:rsid w:val="00357A3B"/>
    <w:rsid w:val="004E1E01"/>
    <w:rsid w:val="00661A52"/>
    <w:rsid w:val="00717769"/>
    <w:rsid w:val="0078216F"/>
    <w:rsid w:val="00813559"/>
    <w:rsid w:val="00932995"/>
    <w:rsid w:val="00942BC6"/>
    <w:rsid w:val="009C6FA6"/>
    <w:rsid w:val="00C85F85"/>
    <w:rsid w:val="00D531EC"/>
    <w:rsid w:val="00D609ED"/>
    <w:rsid w:val="00D752AD"/>
    <w:rsid w:val="00E83E00"/>
    <w:rsid w:val="00FA0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14ACB0"/>
  <w15:chartTrackingRefBased/>
  <w15:docId w15:val="{90D56E08-D1BC-EC44-BA69-8F20A8E6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0C7F"/>
    <w:rPr>
      <w:color w:val="808080"/>
    </w:rPr>
  </w:style>
  <w:style w:type="paragraph" w:styleId="ListParagraph">
    <w:name w:val="List Paragraph"/>
    <w:basedOn w:val="Normal"/>
    <w:uiPriority w:val="34"/>
    <w:qFormat/>
    <w:rsid w:val="00FA0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apee/Documents/University/2.%20Sem%20/E&#216;/Eksamen/Meatsheet-of-Death-1-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Den interne rente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308333333333335"/>
          <c:y val="0.17631962671332749"/>
          <c:w val="0.76469444444444445"/>
          <c:h val="0.62466497893852257"/>
        </c:manualLayout>
      </c:layout>
      <c:lineChart>
        <c:grouping val="standard"/>
        <c:varyColors val="0"/>
        <c:ser>
          <c:idx val="1"/>
          <c:order val="0"/>
          <c:spPr>
            <a:ln w="28575" cap="rnd">
              <a:solidFill>
                <a:schemeClr val="accent2"/>
              </a:solidFill>
              <a:round/>
            </a:ln>
            <a:effectLst/>
          </c:spPr>
          <c:marker>
            <c:symbol val="none"/>
          </c:marker>
          <c:cat>
            <c:numRef>
              <c:f>'Anlæg A stigende energipriser '!$D$48:$AC$48</c:f>
              <c:numCache>
                <c:formatCode>0.00%</c:formatCode>
                <c:ptCount val="26"/>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numCache>
            </c:numRef>
          </c:cat>
          <c:val>
            <c:numRef>
              <c:f>'Anlæg A stigende energipriser '!$D$49:$AC$49</c:f>
              <c:numCache>
                <c:formatCode>#,##0_ ;[Red]\-#,##0\ </c:formatCode>
                <c:ptCount val="26"/>
                <c:pt idx="0">
                  <c:v>1612551.25</c:v>
                </c:pt>
                <c:pt idx="1">
                  <c:v>1488126.2878149264</c:v>
                </c:pt>
                <c:pt idx="2">
                  <c:v>1370872.5167303761</c:v>
                </c:pt>
                <c:pt idx="3">
                  <c:v>1260279.6353037576</c:v>
                </c:pt>
                <c:pt idx="4">
                  <c:v>1155879.4823255888</c:v>
                </c:pt>
                <c:pt idx="5">
                  <c:v>1057242.1231217384</c:v>
                </c:pt>
                <c:pt idx="6">
                  <c:v>963972.33686341671</c:v>
                </c:pt>
                <c:pt idx="7">
                  <c:v>875706.46014893614</c:v>
                </c:pt>
                <c:pt idx="8">
                  <c:v>792109.54750213493</c:v>
                </c:pt>
                <c:pt idx="9">
                  <c:v>712872.81412071921</c:v>
                </c:pt>
                <c:pt idx="10">
                  <c:v>637711.33029840374</c:v>
                </c:pt>
                <c:pt idx="11">
                  <c:v>566361.9405186642</c:v>
                </c:pt>
                <c:pt idx="12">
                  <c:v>498581.38334455201</c:v>
                </c:pt>
                <c:pt idx="13">
                  <c:v>434144.59096807707</c:v>
                </c:pt>
                <c:pt idx="14">
                  <c:v>372843.14968497888</c:v>
                </c:pt>
                <c:pt idx="15">
                  <c:v>314483.90467068669</c:v>
                </c:pt>
                <c:pt idx="16">
                  <c:v>258887.69428851944</c:v>
                </c:pt>
                <c:pt idx="17">
                  <c:v>205888.20079454244</c:v>
                </c:pt>
                <c:pt idx="18">
                  <c:v>155330.90574327577</c:v>
                </c:pt>
                <c:pt idx="19">
                  <c:v>107072.13966896804</c:v>
                </c:pt>
                <c:pt idx="20">
                  <c:v>60978.216739719268</c:v>
                </c:pt>
                <c:pt idx="21">
                  <c:v>16924.646074636141</c:v>
                </c:pt>
                <c:pt idx="22">
                  <c:v>-25204.587706594495</c:v>
                </c:pt>
                <c:pt idx="23">
                  <c:v>-65517.681352904765</c:v>
                </c:pt>
                <c:pt idx="24">
                  <c:v>-104115.61322935205</c:v>
                </c:pt>
                <c:pt idx="25">
                  <c:v>-141092.69228800014</c:v>
                </c:pt>
              </c:numCache>
            </c:numRef>
          </c:val>
          <c:smooth val="0"/>
          <c:extLst>
            <c:ext xmlns:c16="http://schemas.microsoft.com/office/drawing/2014/chart" uri="{C3380CC4-5D6E-409C-BE32-E72D297353CC}">
              <c16:uniqueId val="{00000000-AEDF-AE4C-AEF7-327FB80FE026}"/>
            </c:ext>
          </c:extLst>
        </c:ser>
        <c:dLbls>
          <c:showLegendKey val="0"/>
          <c:showVal val="0"/>
          <c:showCatName val="0"/>
          <c:showSerName val="0"/>
          <c:showPercent val="0"/>
          <c:showBubbleSize val="0"/>
        </c:dLbls>
        <c:smooth val="0"/>
        <c:axId val="500886639"/>
        <c:axId val="500888287"/>
      </c:lineChart>
      <c:catAx>
        <c:axId val="500886639"/>
        <c:scaling>
          <c:orientation val="minMax"/>
        </c:scaling>
        <c:delete val="0"/>
        <c:axPos val="b"/>
        <c:numFmt formatCode="0.00%"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888287"/>
        <c:crosses val="autoZero"/>
        <c:auto val="1"/>
        <c:lblAlgn val="ctr"/>
        <c:lblOffset val="100"/>
        <c:noMultiLvlLbl val="0"/>
      </c:catAx>
      <c:valAx>
        <c:axId val="500888287"/>
        <c:scaling>
          <c:orientation val="minMax"/>
        </c:scaling>
        <c:delete val="0"/>
        <c:axPos val="l"/>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886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3</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2</cp:revision>
  <dcterms:created xsi:type="dcterms:W3CDTF">2021-05-28T21:51:00Z</dcterms:created>
  <dcterms:modified xsi:type="dcterms:W3CDTF">2021-05-29T15:58:00Z</dcterms:modified>
</cp:coreProperties>
</file>