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D8266" w14:textId="3B28BE1F" w:rsidR="00716C1C" w:rsidRDefault="00233AA6" w:rsidP="00233AA6">
      <w:pPr>
        <w:pStyle w:val="Heading1"/>
        <w:spacing w:line="360" w:lineRule="auto"/>
        <w:jc w:val="center"/>
      </w:pPr>
      <w:r>
        <w:t>Hjemmeopgave 1</w:t>
      </w:r>
    </w:p>
    <w:p w14:paraId="4F2D8EC9" w14:textId="30BB6B6F" w:rsidR="001376D0" w:rsidRDefault="001376D0" w:rsidP="001376D0">
      <w:pPr>
        <w:spacing w:line="360" w:lineRule="auto"/>
        <w:rPr>
          <w:rFonts w:ascii="Georgia" w:hAnsi="Georgia"/>
          <w:b/>
          <w:bCs/>
          <w:sz w:val="22"/>
          <w:szCs w:val="22"/>
        </w:rPr>
      </w:pPr>
      <w:r>
        <w:rPr>
          <w:rFonts w:ascii="Georgia" w:hAnsi="Georgia"/>
          <w:b/>
          <w:bCs/>
          <w:sz w:val="22"/>
          <w:szCs w:val="22"/>
        </w:rPr>
        <w:t>Opgave 1 – Finansielle nøgletal</w:t>
      </w:r>
    </w:p>
    <w:p w14:paraId="2115613C" w14:textId="4C400174" w:rsidR="001376D0" w:rsidRDefault="001376D0" w:rsidP="001376D0">
      <w:pPr>
        <w:spacing w:line="360" w:lineRule="auto"/>
        <w:rPr>
          <w:rFonts w:ascii="Georgia" w:hAnsi="Georgia"/>
          <w:b/>
          <w:bCs/>
          <w:sz w:val="22"/>
          <w:szCs w:val="22"/>
        </w:rPr>
      </w:pPr>
    </w:p>
    <w:tbl>
      <w:tblPr>
        <w:tblW w:w="6140" w:type="dxa"/>
        <w:tblLook w:val="04A0" w:firstRow="1" w:lastRow="0" w:firstColumn="1" w:lastColumn="0" w:noHBand="0" w:noVBand="1"/>
      </w:tblPr>
      <w:tblGrid>
        <w:gridCol w:w="2120"/>
        <w:gridCol w:w="2440"/>
        <w:gridCol w:w="1580"/>
      </w:tblGrid>
      <w:tr w:rsidR="0075769F" w:rsidRPr="0075769F" w14:paraId="029721DE" w14:textId="77777777" w:rsidTr="0075769F">
        <w:trPr>
          <w:trHeight w:val="320"/>
        </w:trPr>
        <w:tc>
          <w:tcPr>
            <w:tcW w:w="2120" w:type="dxa"/>
            <w:tcBorders>
              <w:top w:val="single" w:sz="8" w:space="0" w:color="auto"/>
              <w:left w:val="single" w:sz="8" w:space="0" w:color="auto"/>
              <w:bottom w:val="nil"/>
              <w:right w:val="nil"/>
            </w:tcBorders>
            <w:shd w:val="clear" w:color="000000" w:fill="C6E0B4"/>
            <w:noWrap/>
            <w:vAlign w:val="bottom"/>
            <w:hideMark/>
          </w:tcPr>
          <w:p w14:paraId="303557C2" w14:textId="77777777" w:rsidR="0075769F" w:rsidRPr="0075769F" w:rsidRDefault="0075769F" w:rsidP="0075769F">
            <w:pPr>
              <w:rPr>
                <w:rFonts w:ascii="Calibri" w:eastAsia="Times New Roman" w:hAnsi="Calibri" w:cs="Calibri"/>
                <w:color w:val="000000"/>
                <w:lang w:val="en-GB" w:eastAsia="en-GB"/>
              </w:rPr>
            </w:pPr>
            <w:r w:rsidRPr="0075769F">
              <w:rPr>
                <w:rFonts w:ascii="Calibri" w:eastAsia="Times New Roman" w:hAnsi="Calibri" w:cs="Calibri"/>
                <w:color w:val="000000"/>
                <w:lang w:val="en-GB" w:eastAsia="en-GB"/>
              </w:rPr>
              <w:t> </w:t>
            </w:r>
          </w:p>
        </w:tc>
        <w:tc>
          <w:tcPr>
            <w:tcW w:w="2440" w:type="dxa"/>
            <w:tcBorders>
              <w:top w:val="single" w:sz="8" w:space="0" w:color="auto"/>
              <w:left w:val="nil"/>
              <w:bottom w:val="nil"/>
              <w:right w:val="nil"/>
            </w:tcBorders>
            <w:shd w:val="clear" w:color="000000" w:fill="C6E0B4"/>
            <w:noWrap/>
            <w:vAlign w:val="bottom"/>
            <w:hideMark/>
          </w:tcPr>
          <w:p w14:paraId="09746DB2" w14:textId="77777777" w:rsidR="0075769F" w:rsidRPr="0075769F" w:rsidRDefault="0075769F" w:rsidP="0075769F">
            <w:pPr>
              <w:rPr>
                <w:rFonts w:ascii="Calibri" w:eastAsia="Times New Roman" w:hAnsi="Calibri" w:cs="Calibri"/>
                <w:b/>
                <w:bCs/>
                <w:color w:val="000000"/>
                <w:lang w:val="en-GB" w:eastAsia="en-GB"/>
              </w:rPr>
            </w:pPr>
            <w:r w:rsidRPr="0075769F">
              <w:rPr>
                <w:rFonts w:ascii="Calibri" w:eastAsia="Times New Roman" w:hAnsi="Calibri" w:cs="Calibri"/>
                <w:b/>
                <w:bCs/>
                <w:color w:val="000000"/>
                <w:lang w:val="en-GB" w:eastAsia="en-GB"/>
              </w:rPr>
              <w:t>Carlsberg</w:t>
            </w:r>
          </w:p>
        </w:tc>
        <w:tc>
          <w:tcPr>
            <w:tcW w:w="1580" w:type="dxa"/>
            <w:tcBorders>
              <w:top w:val="single" w:sz="8" w:space="0" w:color="auto"/>
              <w:left w:val="nil"/>
              <w:bottom w:val="nil"/>
              <w:right w:val="single" w:sz="8" w:space="0" w:color="auto"/>
            </w:tcBorders>
            <w:shd w:val="clear" w:color="000000" w:fill="C6E0B4"/>
            <w:noWrap/>
            <w:vAlign w:val="bottom"/>
            <w:hideMark/>
          </w:tcPr>
          <w:p w14:paraId="52A0EC54" w14:textId="77777777" w:rsidR="0075769F" w:rsidRPr="0075769F" w:rsidRDefault="0075769F" w:rsidP="0075769F">
            <w:pPr>
              <w:rPr>
                <w:rFonts w:ascii="Calibri" w:eastAsia="Times New Roman" w:hAnsi="Calibri" w:cs="Calibri"/>
                <w:b/>
                <w:bCs/>
                <w:color w:val="000000"/>
                <w:lang w:val="en-GB" w:eastAsia="en-GB"/>
              </w:rPr>
            </w:pPr>
            <w:proofErr w:type="spellStart"/>
            <w:r w:rsidRPr="0075769F">
              <w:rPr>
                <w:rFonts w:ascii="Calibri" w:eastAsia="Times New Roman" w:hAnsi="Calibri" w:cs="Calibri"/>
                <w:b/>
                <w:bCs/>
                <w:color w:val="000000"/>
                <w:lang w:val="en-GB" w:eastAsia="en-GB"/>
              </w:rPr>
              <w:t>AnB</w:t>
            </w:r>
            <w:proofErr w:type="spellEnd"/>
          </w:p>
        </w:tc>
      </w:tr>
      <w:tr w:rsidR="0075769F" w:rsidRPr="0075769F" w14:paraId="34F4D2A1" w14:textId="77777777" w:rsidTr="0075769F">
        <w:trPr>
          <w:trHeight w:val="320"/>
        </w:trPr>
        <w:tc>
          <w:tcPr>
            <w:tcW w:w="2120" w:type="dxa"/>
            <w:tcBorders>
              <w:top w:val="nil"/>
              <w:left w:val="single" w:sz="8" w:space="0" w:color="auto"/>
              <w:bottom w:val="nil"/>
              <w:right w:val="nil"/>
            </w:tcBorders>
            <w:shd w:val="clear" w:color="auto" w:fill="auto"/>
            <w:noWrap/>
            <w:vAlign w:val="bottom"/>
            <w:hideMark/>
          </w:tcPr>
          <w:p w14:paraId="7AFB02D5" w14:textId="77777777" w:rsidR="0075769F" w:rsidRPr="0075769F" w:rsidRDefault="0075769F" w:rsidP="0075769F">
            <w:pPr>
              <w:rPr>
                <w:rFonts w:ascii="Calibri" w:eastAsia="Times New Roman" w:hAnsi="Calibri" w:cs="Calibri"/>
                <w:b/>
                <w:bCs/>
                <w:i/>
                <w:iCs/>
                <w:color w:val="000000"/>
                <w:lang w:val="en-GB" w:eastAsia="en-GB"/>
              </w:rPr>
            </w:pPr>
            <w:r w:rsidRPr="0075769F">
              <w:rPr>
                <w:rFonts w:ascii="Calibri" w:eastAsia="Times New Roman" w:hAnsi="Calibri" w:cs="Calibri"/>
                <w:b/>
                <w:bCs/>
                <w:i/>
                <w:iCs/>
                <w:color w:val="000000"/>
                <w:lang w:val="en-GB" w:eastAsia="en-GB"/>
              </w:rPr>
              <w:t>EKF</w:t>
            </w:r>
          </w:p>
        </w:tc>
        <w:tc>
          <w:tcPr>
            <w:tcW w:w="2440" w:type="dxa"/>
            <w:tcBorders>
              <w:top w:val="nil"/>
              <w:left w:val="nil"/>
              <w:bottom w:val="nil"/>
              <w:right w:val="nil"/>
            </w:tcBorders>
            <w:shd w:val="clear" w:color="auto" w:fill="auto"/>
            <w:noWrap/>
            <w:vAlign w:val="bottom"/>
            <w:hideMark/>
          </w:tcPr>
          <w:p w14:paraId="0AA8A6A3" w14:textId="77777777" w:rsidR="0075769F" w:rsidRPr="0075769F" w:rsidRDefault="0075769F" w:rsidP="0075769F">
            <w:pPr>
              <w:jc w:val="right"/>
              <w:rPr>
                <w:rFonts w:ascii="Calibri" w:eastAsia="Times New Roman" w:hAnsi="Calibri" w:cs="Calibri"/>
                <w:b/>
                <w:bCs/>
                <w:color w:val="000000"/>
                <w:lang w:val="en-GB" w:eastAsia="en-GB"/>
              </w:rPr>
            </w:pPr>
            <w:r w:rsidRPr="0075769F">
              <w:rPr>
                <w:rFonts w:ascii="Calibri" w:eastAsia="Times New Roman" w:hAnsi="Calibri" w:cs="Calibri"/>
                <w:b/>
                <w:bCs/>
                <w:color w:val="000000"/>
                <w:lang w:val="en-GB" w:eastAsia="en-GB"/>
              </w:rPr>
              <w:t>13.51%</w:t>
            </w:r>
          </w:p>
        </w:tc>
        <w:tc>
          <w:tcPr>
            <w:tcW w:w="1580" w:type="dxa"/>
            <w:tcBorders>
              <w:top w:val="nil"/>
              <w:left w:val="nil"/>
              <w:bottom w:val="nil"/>
              <w:right w:val="single" w:sz="8" w:space="0" w:color="auto"/>
            </w:tcBorders>
            <w:shd w:val="clear" w:color="auto" w:fill="auto"/>
            <w:noWrap/>
            <w:vAlign w:val="bottom"/>
            <w:hideMark/>
          </w:tcPr>
          <w:p w14:paraId="030D6BFF" w14:textId="77777777" w:rsidR="0075769F" w:rsidRPr="0075769F" w:rsidRDefault="0075769F" w:rsidP="0075769F">
            <w:pPr>
              <w:jc w:val="right"/>
              <w:rPr>
                <w:rFonts w:ascii="Calibri" w:eastAsia="Times New Roman" w:hAnsi="Calibri" w:cs="Calibri"/>
                <w:b/>
                <w:bCs/>
                <w:color w:val="000000"/>
                <w:lang w:val="en-GB" w:eastAsia="en-GB"/>
              </w:rPr>
            </w:pPr>
            <w:r w:rsidRPr="0075769F">
              <w:rPr>
                <w:rFonts w:ascii="Calibri" w:eastAsia="Times New Roman" w:hAnsi="Calibri" w:cs="Calibri"/>
                <w:b/>
                <w:bCs/>
                <w:color w:val="000000"/>
                <w:lang w:val="en-GB" w:eastAsia="en-GB"/>
              </w:rPr>
              <w:t>5.32%</w:t>
            </w:r>
          </w:p>
        </w:tc>
      </w:tr>
      <w:tr w:rsidR="0075769F" w:rsidRPr="0075769F" w14:paraId="4B72FED2" w14:textId="77777777" w:rsidTr="0075769F">
        <w:trPr>
          <w:trHeight w:val="320"/>
        </w:trPr>
        <w:tc>
          <w:tcPr>
            <w:tcW w:w="2120" w:type="dxa"/>
            <w:tcBorders>
              <w:top w:val="nil"/>
              <w:left w:val="single" w:sz="8" w:space="0" w:color="auto"/>
              <w:bottom w:val="nil"/>
              <w:right w:val="nil"/>
            </w:tcBorders>
            <w:shd w:val="clear" w:color="000000" w:fill="E2EFDA"/>
            <w:noWrap/>
            <w:vAlign w:val="bottom"/>
            <w:hideMark/>
          </w:tcPr>
          <w:p w14:paraId="2F413EC9" w14:textId="77777777" w:rsidR="0075769F" w:rsidRPr="0075769F" w:rsidRDefault="0075769F" w:rsidP="0075769F">
            <w:pPr>
              <w:rPr>
                <w:rFonts w:ascii="Calibri" w:eastAsia="Times New Roman" w:hAnsi="Calibri" w:cs="Calibri"/>
                <w:i/>
                <w:iCs/>
                <w:color w:val="000000"/>
                <w:lang w:val="en-GB" w:eastAsia="en-GB"/>
              </w:rPr>
            </w:pPr>
            <w:r w:rsidRPr="0075769F">
              <w:rPr>
                <w:rFonts w:ascii="Calibri" w:eastAsia="Times New Roman" w:hAnsi="Calibri" w:cs="Calibri"/>
                <w:i/>
                <w:iCs/>
                <w:color w:val="000000"/>
                <w:lang w:val="en-GB" w:eastAsia="en-GB"/>
              </w:rPr>
              <w:t>AG</w:t>
            </w:r>
          </w:p>
        </w:tc>
        <w:tc>
          <w:tcPr>
            <w:tcW w:w="2440" w:type="dxa"/>
            <w:tcBorders>
              <w:top w:val="nil"/>
              <w:left w:val="nil"/>
              <w:bottom w:val="nil"/>
              <w:right w:val="nil"/>
            </w:tcBorders>
            <w:shd w:val="clear" w:color="000000" w:fill="E2EFDA"/>
            <w:noWrap/>
            <w:vAlign w:val="bottom"/>
            <w:hideMark/>
          </w:tcPr>
          <w:p w14:paraId="75127CC2" w14:textId="77777777" w:rsidR="0075769F" w:rsidRPr="0075769F" w:rsidRDefault="0075769F" w:rsidP="0075769F">
            <w:pPr>
              <w:jc w:val="right"/>
              <w:rPr>
                <w:rFonts w:ascii="Calibri" w:eastAsia="Times New Roman" w:hAnsi="Calibri" w:cs="Calibri"/>
                <w:i/>
                <w:iCs/>
                <w:color w:val="000000"/>
                <w:lang w:val="en-GB" w:eastAsia="en-GB"/>
              </w:rPr>
            </w:pPr>
            <w:r w:rsidRPr="0075769F">
              <w:rPr>
                <w:rFonts w:ascii="Calibri" w:eastAsia="Times New Roman" w:hAnsi="Calibri" w:cs="Calibri"/>
                <w:i/>
                <w:iCs/>
                <w:color w:val="000000"/>
                <w:lang w:val="en-GB" w:eastAsia="en-GB"/>
              </w:rPr>
              <w:t>6.69%</w:t>
            </w:r>
          </w:p>
        </w:tc>
        <w:tc>
          <w:tcPr>
            <w:tcW w:w="1580" w:type="dxa"/>
            <w:tcBorders>
              <w:top w:val="nil"/>
              <w:left w:val="nil"/>
              <w:bottom w:val="nil"/>
              <w:right w:val="single" w:sz="8" w:space="0" w:color="auto"/>
            </w:tcBorders>
            <w:shd w:val="clear" w:color="000000" w:fill="E2EFDA"/>
            <w:noWrap/>
            <w:vAlign w:val="bottom"/>
            <w:hideMark/>
          </w:tcPr>
          <w:p w14:paraId="61491337" w14:textId="77777777" w:rsidR="0075769F" w:rsidRPr="0075769F" w:rsidRDefault="0075769F" w:rsidP="0075769F">
            <w:pPr>
              <w:jc w:val="right"/>
              <w:rPr>
                <w:rFonts w:ascii="Calibri" w:eastAsia="Times New Roman" w:hAnsi="Calibri" w:cs="Calibri"/>
                <w:i/>
                <w:iCs/>
                <w:color w:val="000000"/>
                <w:lang w:val="en-GB" w:eastAsia="en-GB"/>
              </w:rPr>
            </w:pPr>
            <w:r w:rsidRPr="0075769F">
              <w:rPr>
                <w:rFonts w:ascii="Calibri" w:eastAsia="Times New Roman" w:hAnsi="Calibri" w:cs="Calibri"/>
                <w:i/>
                <w:iCs/>
                <w:color w:val="000000"/>
                <w:lang w:val="en-GB" w:eastAsia="en-GB"/>
              </w:rPr>
              <w:t>4.99%</w:t>
            </w:r>
          </w:p>
        </w:tc>
      </w:tr>
      <w:tr w:rsidR="0075769F" w:rsidRPr="0075769F" w14:paraId="70FCD624" w14:textId="77777777" w:rsidTr="0075769F">
        <w:trPr>
          <w:trHeight w:val="320"/>
        </w:trPr>
        <w:tc>
          <w:tcPr>
            <w:tcW w:w="2120" w:type="dxa"/>
            <w:tcBorders>
              <w:top w:val="nil"/>
              <w:left w:val="single" w:sz="8" w:space="0" w:color="auto"/>
              <w:bottom w:val="nil"/>
              <w:right w:val="nil"/>
            </w:tcBorders>
            <w:shd w:val="clear" w:color="auto" w:fill="auto"/>
            <w:noWrap/>
            <w:vAlign w:val="bottom"/>
            <w:hideMark/>
          </w:tcPr>
          <w:p w14:paraId="15A68FF7" w14:textId="77777777" w:rsidR="0075769F" w:rsidRPr="0075769F" w:rsidRDefault="0075769F" w:rsidP="0075769F">
            <w:pPr>
              <w:rPr>
                <w:rFonts w:ascii="Calibri" w:eastAsia="Times New Roman" w:hAnsi="Calibri" w:cs="Calibri"/>
                <w:i/>
                <w:iCs/>
                <w:color w:val="000000"/>
                <w:lang w:val="en-GB" w:eastAsia="en-GB"/>
              </w:rPr>
            </w:pPr>
            <w:r w:rsidRPr="0075769F">
              <w:rPr>
                <w:rFonts w:ascii="Calibri" w:eastAsia="Times New Roman" w:hAnsi="Calibri" w:cs="Calibri"/>
                <w:i/>
                <w:iCs/>
                <w:color w:val="000000"/>
                <w:lang w:val="en-GB" w:eastAsia="en-GB"/>
              </w:rPr>
              <w:t>OG</w:t>
            </w:r>
          </w:p>
        </w:tc>
        <w:tc>
          <w:tcPr>
            <w:tcW w:w="2440" w:type="dxa"/>
            <w:tcBorders>
              <w:top w:val="nil"/>
              <w:left w:val="nil"/>
              <w:bottom w:val="nil"/>
              <w:right w:val="nil"/>
            </w:tcBorders>
            <w:shd w:val="clear" w:color="auto" w:fill="auto"/>
            <w:noWrap/>
            <w:vAlign w:val="bottom"/>
            <w:hideMark/>
          </w:tcPr>
          <w:p w14:paraId="31EDA9C2" w14:textId="77777777" w:rsidR="0075769F" w:rsidRPr="0075769F" w:rsidRDefault="0075769F" w:rsidP="0075769F">
            <w:pPr>
              <w:jc w:val="right"/>
              <w:rPr>
                <w:rFonts w:ascii="Calibri" w:eastAsia="Times New Roman" w:hAnsi="Calibri" w:cs="Calibri"/>
                <w:i/>
                <w:iCs/>
                <w:color w:val="000000"/>
                <w:lang w:val="en-GB" w:eastAsia="en-GB"/>
              </w:rPr>
            </w:pPr>
            <w:r w:rsidRPr="0075769F">
              <w:rPr>
                <w:rFonts w:ascii="Calibri" w:eastAsia="Times New Roman" w:hAnsi="Calibri" w:cs="Calibri"/>
                <w:i/>
                <w:iCs/>
                <w:color w:val="000000"/>
                <w:lang w:val="en-GB" w:eastAsia="en-GB"/>
              </w:rPr>
              <w:t>9.77%</w:t>
            </w:r>
          </w:p>
        </w:tc>
        <w:tc>
          <w:tcPr>
            <w:tcW w:w="1580" w:type="dxa"/>
            <w:tcBorders>
              <w:top w:val="nil"/>
              <w:left w:val="nil"/>
              <w:bottom w:val="nil"/>
              <w:right w:val="single" w:sz="8" w:space="0" w:color="auto"/>
            </w:tcBorders>
            <w:shd w:val="clear" w:color="auto" w:fill="auto"/>
            <w:noWrap/>
            <w:vAlign w:val="bottom"/>
            <w:hideMark/>
          </w:tcPr>
          <w:p w14:paraId="059645B5" w14:textId="77777777" w:rsidR="0075769F" w:rsidRPr="0075769F" w:rsidRDefault="0075769F" w:rsidP="0075769F">
            <w:pPr>
              <w:jc w:val="right"/>
              <w:rPr>
                <w:rFonts w:ascii="Calibri" w:eastAsia="Times New Roman" w:hAnsi="Calibri" w:cs="Calibri"/>
                <w:i/>
                <w:iCs/>
                <w:color w:val="000000"/>
                <w:lang w:val="en-GB" w:eastAsia="en-GB"/>
              </w:rPr>
            </w:pPr>
            <w:r w:rsidRPr="0075769F">
              <w:rPr>
                <w:rFonts w:ascii="Calibri" w:eastAsia="Times New Roman" w:hAnsi="Calibri" w:cs="Calibri"/>
                <w:i/>
                <w:iCs/>
                <w:color w:val="000000"/>
                <w:lang w:val="en-GB" w:eastAsia="en-GB"/>
              </w:rPr>
              <w:t>28.34%</w:t>
            </w:r>
          </w:p>
        </w:tc>
      </w:tr>
      <w:tr w:rsidR="0075769F" w:rsidRPr="0075769F" w14:paraId="49ED0A47" w14:textId="77777777" w:rsidTr="0075769F">
        <w:trPr>
          <w:trHeight w:val="320"/>
        </w:trPr>
        <w:tc>
          <w:tcPr>
            <w:tcW w:w="2120" w:type="dxa"/>
            <w:tcBorders>
              <w:top w:val="nil"/>
              <w:left w:val="single" w:sz="8" w:space="0" w:color="auto"/>
              <w:bottom w:val="nil"/>
              <w:right w:val="nil"/>
            </w:tcBorders>
            <w:shd w:val="clear" w:color="000000" w:fill="E2EFDA"/>
            <w:noWrap/>
            <w:vAlign w:val="bottom"/>
            <w:hideMark/>
          </w:tcPr>
          <w:p w14:paraId="2EB0156C" w14:textId="77777777" w:rsidR="0075769F" w:rsidRPr="0075769F" w:rsidRDefault="0075769F" w:rsidP="0075769F">
            <w:pPr>
              <w:rPr>
                <w:rFonts w:ascii="Calibri" w:eastAsia="Times New Roman" w:hAnsi="Calibri" w:cs="Calibri"/>
                <w:i/>
                <w:iCs/>
                <w:color w:val="000000"/>
                <w:lang w:val="en-GB" w:eastAsia="en-GB"/>
              </w:rPr>
            </w:pPr>
            <w:r w:rsidRPr="0075769F">
              <w:rPr>
                <w:rFonts w:ascii="Calibri" w:eastAsia="Times New Roman" w:hAnsi="Calibri" w:cs="Calibri"/>
                <w:i/>
                <w:iCs/>
                <w:color w:val="000000"/>
                <w:lang w:val="en-GB" w:eastAsia="en-GB"/>
              </w:rPr>
              <w:t>AOH</w:t>
            </w:r>
          </w:p>
        </w:tc>
        <w:tc>
          <w:tcPr>
            <w:tcW w:w="2440" w:type="dxa"/>
            <w:tcBorders>
              <w:top w:val="nil"/>
              <w:left w:val="nil"/>
              <w:bottom w:val="nil"/>
              <w:right w:val="nil"/>
            </w:tcBorders>
            <w:shd w:val="clear" w:color="000000" w:fill="E2EFDA"/>
            <w:noWrap/>
            <w:vAlign w:val="bottom"/>
            <w:hideMark/>
          </w:tcPr>
          <w:p w14:paraId="34328AE7" w14:textId="77777777" w:rsidR="0075769F" w:rsidRPr="0075769F" w:rsidRDefault="0075769F" w:rsidP="0075769F">
            <w:pPr>
              <w:jc w:val="right"/>
              <w:rPr>
                <w:rFonts w:ascii="Calibri" w:eastAsia="Times New Roman" w:hAnsi="Calibri" w:cs="Calibri"/>
                <w:i/>
                <w:iCs/>
                <w:color w:val="000000"/>
                <w:lang w:val="en-GB" w:eastAsia="en-GB"/>
              </w:rPr>
            </w:pPr>
            <w:r w:rsidRPr="0075769F">
              <w:rPr>
                <w:rFonts w:ascii="Calibri" w:eastAsia="Times New Roman" w:hAnsi="Calibri" w:cs="Calibri"/>
                <w:i/>
                <w:iCs/>
                <w:color w:val="000000"/>
                <w:lang w:val="en-GB" w:eastAsia="en-GB"/>
              </w:rPr>
              <w:t>0.69</w:t>
            </w:r>
          </w:p>
        </w:tc>
        <w:tc>
          <w:tcPr>
            <w:tcW w:w="1580" w:type="dxa"/>
            <w:tcBorders>
              <w:top w:val="nil"/>
              <w:left w:val="nil"/>
              <w:bottom w:val="nil"/>
              <w:right w:val="single" w:sz="8" w:space="0" w:color="auto"/>
            </w:tcBorders>
            <w:shd w:val="clear" w:color="000000" w:fill="E2EFDA"/>
            <w:noWrap/>
            <w:vAlign w:val="bottom"/>
            <w:hideMark/>
          </w:tcPr>
          <w:p w14:paraId="1207A260" w14:textId="77777777" w:rsidR="0075769F" w:rsidRPr="0075769F" w:rsidRDefault="0075769F" w:rsidP="0075769F">
            <w:pPr>
              <w:jc w:val="right"/>
              <w:rPr>
                <w:rFonts w:ascii="Calibri" w:eastAsia="Times New Roman" w:hAnsi="Calibri" w:cs="Calibri"/>
                <w:i/>
                <w:iCs/>
                <w:color w:val="000000"/>
                <w:lang w:val="en-GB" w:eastAsia="en-GB"/>
              </w:rPr>
            </w:pPr>
            <w:r w:rsidRPr="0075769F">
              <w:rPr>
                <w:rFonts w:ascii="Calibri" w:eastAsia="Times New Roman" w:hAnsi="Calibri" w:cs="Calibri"/>
                <w:i/>
                <w:iCs/>
                <w:color w:val="000000"/>
                <w:lang w:val="en-GB" w:eastAsia="en-GB"/>
              </w:rPr>
              <w:t>0.18</w:t>
            </w:r>
          </w:p>
        </w:tc>
      </w:tr>
      <w:tr w:rsidR="0075769F" w:rsidRPr="0075769F" w14:paraId="6D1BD3FF" w14:textId="77777777" w:rsidTr="0075769F">
        <w:trPr>
          <w:trHeight w:val="320"/>
        </w:trPr>
        <w:tc>
          <w:tcPr>
            <w:tcW w:w="2120" w:type="dxa"/>
            <w:tcBorders>
              <w:top w:val="nil"/>
              <w:left w:val="single" w:sz="8" w:space="0" w:color="auto"/>
              <w:bottom w:val="nil"/>
              <w:right w:val="nil"/>
            </w:tcBorders>
            <w:shd w:val="clear" w:color="auto" w:fill="auto"/>
            <w:noWrap/>
            <w:vAlign w:val="bottom"/>
            <w:hideMark/>
          </w:tcPr>
          <w:p w14:paraId="25B0119F" w14:textId="77777777" w:rsidR="0075769F" w:rsidRPr="0075769F" w:rsidRDefault="0075769F" w:rsidP="0075769F">
            <w:pPr>
              <w:rPr>
                <w:rFonts w:ascii="Calibri" w:eastAsia="Times New Roman" w:hAnsi="Calibri" w:cs="Calibri"/>
                <w:i/>
                <w:iCs/>
                <w:color w:val="000000"/>
                <w:lang w:val="en-GB" w:eastAsia="en-GB"/>
              </w:rPr>
            </w:pPr>
            <w:r w:rsidRPr="0075769F">
              <w:rPr>
                <w:rFonts w:ascii="Calibri" w:eastAsia="Times New Roman" w:hAnsi="Calibri" w:cs="Calibri"/>
                <w:i/>
                <w:iCs/>
                <w:color w:val="000000"/>
                <w:lang w:val="en-GB" w:eastAsia="en-GB"/>
              </w:rPr>
              <w:t>Gearing</w:t>
            </w:r>
          </w:p>
        </w:tc>
        <w:tc>
          <w:tcPr>
            <w:tcW w:w="2440" w:type="dxa"/>
            <w:tcBorders>
              <w:top w:val="nil"/>
              <w:left w:val="nil"/>
              <w:bottom w:val="nil"/>
              <w:right w:val="nil"/>
            </w:tcBorders>
            <w:shd w:val="clear" w:color="auto" w:fill="auto"/>
            <w:noWrap/>
            <w:vAlign w:val="bottom"/>
            <w:hideMark/>
          </w:tcPr>
          <w:p w14:paraId="6EA0D3B4" w14:textId="77777777" w:rsidR="0075769F" w:rsidRPr="0075769F" w:rsidRDefault="0075769F" w:rsidP="0075769F">
            <w:pPr>
              <w:jc w:val="right"/>
              <w:rPr>
                <w:rFonts w:ascii="Calibri" w:eastAsia="Times New Roman" w:hAnsi="Calibri" w:cs="Calibri"/>
                <w:i/>
                <w:iCs/>
                <w:color w:val="000000"/>
                <w:lang w:val="en-GB" w:eastAsia="en-GB"/>
              </w:rPr>
            </w:pPr>
            <w:r w:rsidRPr="0075769F">
              <w:rPr>
                <w:rFonts w:ascii="Calibri" w:eastAsia="Times New Roman" w:hAnsi="Calibri" w:cs="Calibri"/>
                <w:i/>
                <w:iCs/>
                <w:color w:val="000000"/>
                <w:lang w:val="en-GB" w:eastAsia="en-GB"/>
              </w:rPr>
              <w:t>136.54%</w:t>
            </w:r>
          </w:p>
        </w:tc>
        <w:tc>
          <w:tcPr>
            <w:tcW w:w="1580" w:type="dxa"/>
            <w:tcBorders>
              <w:top w:val="nil"/>
              <w:left w:val="nil"/>
              <w:bottom w:val="nil"/>
              <w:right w:val="single" w:sz="8" w:space="0" w:color="auto"/>
            </w:tcBorders>
            <w:shd w:val="clear" w:color="auto" w:fill="auto"/>
            <w:noWrap/>
            <w:vAlign w:val="bottom"/>
            <w:hideMark/>
          </w:tcPr>
          <w:p w14:paraId="2AE6A384" w14:textId="77777777" w:rsidR="0075769F" w:rsidRPr="0075769F" w:rsidRDefault="0075769F" w:rsidP="0075769F">
            <w:pPr>
              <w:jc w:val="right"/>
              <w:rPr>
                <w:rFonts w:ascii="Calibri" w:eastAsia="Times New Roman" w:hAnsi="Calibri" w:cs="Calibri"/>
                <w:i/>
                <w:iCs/>
                <w:color w:val="000000"/>
                <w:lang w:val="en-GB" w:eastAsia="en-GB"/>
              </w:rPr>
            </w:pPr>
            <w:r w:rsidRPr="0075769F">
              <w:rPr>
                <w:rFonts w:ascii="Calibri" w:eastAsia="Times New Roman" w:hAnsi="Calibri" w:cs="Calibri"/>
                <w:i/>
                <w:iCs/>
                <w:color w:val="000000"/>
                <w:lang w:val="en-GB" w:eastAsia="en-GB"/>
              </w:rPr>
              <w:t>217.32%</w:t>
            </w:r>
          </w:p>
        </w:tc>
      </w:tr>
      <w:tr w:rsidR="0075769F" w:rsidRPr="0075769F" w14:paraId="2380F599" w14:textId="77777777" w:rsidTr="0075769F">
        <w:trPr>
          <w:trHeight w:val="320"/>
        </w:trPr>
        <w:tc>
          <w:tcPr>
            <w:tcW w:w="2120" w:type="dxa"/>
            <w:tcBorders>
              <w:top w:val="nil"/>
              <w:left w:val="single" w:sz="8" w:space="0" w:color="auto"/>
              <w:bottom w:val="nil"/>
              <w:right w:val="nil"/>
            </w:tcBorders>
            <w:shd w:val="clear" w:color="000000" w:fill="E2EFDA"/>
            <w:noWrap/>
            <w:vAlign w:val="bottom"/>
            <w:hideMark/>
          </w:tcPr>
          <w:p w14:paraId="5FA0BDB1" w14:textId="77777777" w:rsidR="0075769F" w:rsidRPr="0075769F" w:rsidRDefault="0075769F" w:rsidP="0075769F">
            <w:pPr>
              <w:rPr>
                <w:rFonts w:ascii="Calibri" w:eastAsia="Times New Roman" w:hAnsi="Calibri" w:cs="Calibri"/>
                <w:i/>
                <w:iCs/>
                <w:color w:val="000000"/>
                <w:lang w:val="en-GB" w:eastAsia="en-GB"/>
              </w:rPr>
            </w:pPr>
            <w:r w:rsidRPr="0075769F">
              <w:rPr>
                <w:rFonts w:ascii="Calibri" w:eastAsia="Times New Roman" w:hAnsi="Calibri" w:cs="Calibri"/>
                <w:i/>
                <w:iCs/>
                <w:color w:val="000000"/>
                <w:lang w:val="en-GB" w:eastAsia="en-GB"/>
              </w:rPr>
              <w:t>GKS</w:t>
            </w:r>
          </w:p>
        </w:tc>
        <w:tc>
          <w:tcPr>
            <w:tcW w:w="2440" w:type="dxa"/>
            <w:tcBorders>
              <w:top w:val="nil"/>
              <w:left w:val="nil"/>
              <w:bottom w:val="nil"/>
              <w:right w:val="nil"/>
            </w:tcBorders>
            <w:shd w:val="clear" w:color="000000" w:fill="E2EFDA"/>
            <w:noWrap/>
            <w:vAlign w:val="bottom"/>
            <w:hideMark/>
          </w:tcPr>
          <w:p w14:paraId="349A2A69" w14:textId="77777777" w:rsidR="0075769F" w:rsidRPr="0075769F" w:rsidRDefault="0075769F" w:rsidP="0075769F">
            <w:pPr>
              <w:jc w:val="right"/>
              <w:rPr>
                <w:rFonts w:ascii="Calibri" w:eastAsia="Times New Roman" w:hAnsi="Calibri" w:cs="Calibri"/>
                <w:i/>
                <w:iCs/>
                <w:color w:val="000000"/>
                <w:lang w:val="en-GB" w:eastAsia="en-GB"/>
              </w:rPr>
            </w:pPr>
            <w:r w:rsidRPr="0075769F">
              <w:rPr>
                <w:rFonts w:ascii="Calibri" w:eastAsia="Times New Roman" w:hAnsi="Calibri" w:cs="Calibri"/>
                <w:i/>
                <w:iCs/>
                <w:color w:val="000000"/>
                <w:lang w:val="en-GB" w:eastAsia="en-GB"/>
              </w:rPr>
              <w:t>2.37</w:t>
            </w:r>
          </w:p>
        </w:tc>
        <w:tc>
          <w:tcPr>
            <w:tcW w:w="1580" w:type="dxa"/>
            <w:tcBorders>
              <w:top w:val="nil"/>
              <w:left w:val="nil"/>
              <w:bottom w:val="nil"/>
              <w:right w:val="single" w:sz="8" w:space="0" w:color="auto"/>
            </w:tcBorders>
            <w:shd w:val="clear" w:color="000000" w:fill="E2EFDA"/>
            <w:noWrap/>
            <w:vAlign w:val="bottom"/>
            <w:hideMark/>
          </w:tcPr>
          <w:p w14:paraId="1959C255" w14:textId="77777777" w:rsidR="0075769F" w:rsidRPr="0075769F" w:rsidRDefault="0075769F" w:rsidP="0075769F">
            <w:pPr>
              <w:jc w:val="right"/>
              <w:rPr>
                <w:rFonts w:ascii="Calibri" w:eastAsia="Times New Roman" w:hAnsi="Calibri" w:cs="Calibri"/>
                <w:i/>
                <w:iCs/>
                <w:color w:val="000000"/>
                <w:lang w:val="en-GB" w:eastAsia="en-GB"/>
              </w:rPr>
            </w:pPr>
            <w:r w:rsidRPr="0075769F">
              <w:rPr>
                <w:rFonts w:ascii="Calibri" w:eastAsia="Times New Roman" w:hAnsi="Calibri" w:cs="Calibri"/>
                <w:i/>
                <w:iCs/>
                <w:color w:val="000000"/>
                <w:lang w:val="en-GB" w:eastAsia="en-GB"/>
              </w:rPr>
              <w:t>3.17</w:t>
            </w:r>
          </w:p>
        </w:tc>
      </w:tr>
      <w:tr w:rsidR="0075769F" w:rsidRPr="0075769F" w14:paraId="5DFC7157" w14:textId="77777777" w:rsidTr="0075769F">
        <w:trPr>
          <w:trHeight w:val="320"/>
        </w:trPr>
        <w:tc>
          <w:tcPr>
            <w:tcW w:w="2120" w:type="dxa"/>
            <w:tcBorders>
              <w:top w:val="nil"/>
              <w:left w:val="single" w:sz="8" w:space="0" w:color="auto"/>
              <w:bottom w:val="nil"/>
              <w:right w:val="nil"/>
            </w:tcBorders>
            <w:shd w:val="clear" w:color="auto" w:fill="auto"/>
            <w:noWrap/>
            <w:vAlign w:val="bottom"/>
            <w:hideMark/>
          </w:tcPr>
          <w:p w14:paraId="255AA355" w14:textId="77777777" w:rsidR="0075769F" w:rsidRPr="0075769F" w:rsidRDefault="0075769F" w:rsidP="0075769F">
            <w:pPr>
              <w:rPr>
                <w:rFonts w:ascii="Calibri" w:eastAsia="Times New Roman" w:hAnsi="Calibri" w:cs="Calibri"/>
                <w:i/>
                <w:iCs/>
                <w:color w:val="000000"/>
                <w:lang w:val="en-GB" w:eastAsia="en-GB"/>
              </w:rPr>
            </w:pPr>
            <w:proofErr w:type="spellStart"/>
            <w:r w:rsidRPr="0075769F">
              <w:rPr>
                <w:rFonts w:ascii="Calibri" w:eastAsia="Times New Roman" w:hAnsi="Calibri" w:cs="Calibri"/>
                <w:i/>
                <w:iCs/>
                <w:color w:val="000000"/>
                <w:lang w:val="en-GB" w:eastAsia="en-GB"/>
              </w:rPr>
              <w:t>Soliditetsgraden</w:t>
            </w:r>
            <w:proofErr w:type="spellEnd"/>
          </w:p>
        </w:tc>
        <w:tc>
          <w:tcPr>
            <w:tcW w:w="2440" w:type="dxa"/>
            <w:tcBorders>
              <w:top w:val="nil"/>
              <w:left w:val="nil"/>
              <w:bottom w:val="nil"/>
              <w:right w:val="nil"/>
            </w:tcBorders>
            <w:shd w:val="clear" w:color="auto" w:fill="auto"/>
            <w:noWrap/>
            <w:vAlign w:val="bottom"/>
            <w:hideMark/>
          </w:tcPr>
          <w:p w14:paraId="2138C8ED" w14:textId="77777777" w:rsidR="0075769F" w:rsidRPr="0075769F" w:rsidRDefault="0075769F" w:rsidP="0075769F">
            <w:pPr>
              <w:jc w:val="right"/>
              <w:rPr>
                <w:rFonts w:ascii="Calibri" w:eastAsia="Times New Roman" w:hAnsi="Calibri" w:cs="Calibri"/>
                <w:i/>
                <w:iCs/>
                <w:color w:val="000000"/>
                <w:lang w:val="en-GB" w:eastAsia="en-GB"/>
              </w:rPr>
            </w:pPr>
            <w:r w:rsidRPr="0075769F">
              <w:rPr>
                <w:rFonts w:ascii="Calibri" w:eastAsia="Times New Roman" w:hAnsi="Calibri" w:cs="Calibri"/>
                <w:i/>
                <w:iCs/>
                <w:color w:val="000000"/>
                <w:lang w:val="en-GB" w:eastAsia="en-GB"/>
              </w:rPr>
              <w:t>42.28%</w:t>
            </w:r>
          </w:p>
        </w:tc>
        <w:tc>
          <w:tcPr>
            <w:tcW w:w="1580" w:type="dxa"/>
            <w:tcBorders>
              <w:top w:val="nil"/>
              <w:left w:val="nil"/>
              <w:bottom w:val="nil"/>
              <w:right w:val="single" w:sz="8" w:space="0" w:color="auto"/>
            </w:tcBorders>
            <w:shd w:val="clear" w:color="auto" w:fill="auto"/>
            <w:noWrap/>
            <w:vAlign w:val="bottom"/>
            <w:hideMark/>
          </w:tcPr>
          <w:p w14:paraId="1A80E5CC" w14:textId="77777777" w:rsidR="0075769F" w:rsidRPr="0075769F" w:rsidRDefault="0075769F" w:rsidP="0075769F">
            <w:pPr>
              <w:jc w:val="right"/>
              <w:rPr>
                <w:rFonts w:ascii="Calibri" w:eastAsia="Times New Roman" w:hAnsi="Calibri" w:cs="Calibri"/>
                <w:i/>
                <w:iCs/>
                <w:color w:val="000000"/>
                <w:lang w:val="en-GB" w:eastAsia="en-GB"/>
              </w:rPr>
            </w:pPr>
            <w:r w:rsidRPr="0075769F">
              <w:rPr>
                <w:rFonts w:ascii="Calibri" w:eastAsia="Times New Roman" w:hAnsi="Calibri" w:cs="Calibri"/>
                <w:i/>
                <w:iCs/>
                <w:color w:val="000000"/>
                <w:lang w:val="en-GB" w:eastAsia="en-GB"/>
              </w:rPr>
              <w:t>31.51%</w:t>
            </w:r>
          </w:p>
        </w:tc>
      </w:tr>
      <w:tr w:rsidR="0075769F" w:rsidRPr="0075769F" w14:paraId="4CEC9554" w14:textId="77777777" w:rsidTr="0075769F">
        <w:trPr>
          <w:trHeight w:val="320"/>
        </w:trPr>
        <w:tc>
          <w:tcPr>
            <w:tcW w:w="2120" w:type="dxa"/>
            <w:tcBorders>
              <w:top w:val="nil"/>
              <w:left w:val="single" w:sz="8" w:space="0" w:color="auto"/>
              <w:bottom w:val="nil"/>
              <w:right w:val="nil"/>
            </w:tcBorders>
            <w:shd w:val="clear" w:color="000000" w:fill="E2EFDA"/>
            <w:noWrap/>
            <w:vAlign w:val="bottom"/>
            <w:hideMark/>
          </w:tcPr>
          <w:p w14:paraId="3894F338" w14:textId="77777777" w:rsidR="0075769F" w:rsidRPr="0075769F" w:rsidRDefault="0075769F" w:rsidP="0075769F">
            <w:pPr>
              <w:rPr>
                <w:rFonts w:ascii="Calibri" w:eastAsia="Times New Roman" w:hAnsi="Calibri" w:cs="Calibri"/>
                <w:i/>
                <w:iCs/>
                <w:color w:val="000000"/>
                <w:lang w:val="en-GB" w:eastAsia="en-GB"/>
              </w:rPr>
            </w:pPr>
            <w:proofErr w:type="spellStart"/>
            <w:r w:rsidRPr="0075769F">
              <w:rPr>
                <w:rFonts w:ascii="Calibri" w:eastAsia="Times New Roman" w:hAnsi="Calibri" w:cs="Calibri"/>
                <w:i/>
                <w:iCs/>
                <w:color w:val="000000"/>
                <w:lang w:val="en-GB" w:eastAsia="en-GB"/>
              </w:rPr>
              <w:t>Likviditetsgrad</w:t>
            </w:r>
            <w:proofErr w:type="spellEnd"/>
            <w:r w:rsidRPr="0075769F">
              <w:rPr>
                <w:rFonts w:ascii="Calibri" w:eastAsia="Times New Roman" w:hAnsi="Calibri" w:cs="Calibri"/>
                <w:i/>
                <w:iCs/>
                <w:color w:val="000000"/>
                <w:lang w:val="en-GB" w:eastAsia="en-GB"/>
              </w:rPr>
              <w:t xml:space="preserve"> 1</w:t>
            </w:r>
          </w:p>
        </w:tc>
        <w:tc>
          <w:tcPr>
            <w:tcW w:w="2440" w:type="dxa"/>
            <w:tcBorders>
              <w:top w:val="nil"/>
              <w:left w:val="nil"/>
              <w:bottom w:val="nil"/>
              <w:right w:val="nil"/>
            </w:tcBorders>
            <w:shd w:val="clear" w:color="000000" w:fill="E2EFDA"/>
            <w:noWrap/>
            <w:vAlign w:val="bottom"/>
            <w:hideMark/>
          </w:tcPr>
          <w:p w14:paraId="4543724D" w14:textId="77777777" w:rsidR="0075769F" w:rsidRPr="0075769F" w:rsidRDefault="0075769F" w:rsidP="0075769F">
            <w:pPr>
              <w:jc w:val="right"/>
              <w:rPr>
                <w:rFonts w:ascii="Calibri" w:eastAsia="Times New Roman" w:hAnsi="Calibri" w:cs="Calibri"/>
                <w:i/>
                <w:iCs/>
                <w:color w:val="000000"/>
                <w:lang w:val="en-GB" w:eastAsia="en-GB"/>
              </w:rPr>
            </w:pPr>
            <w:r w:rsidRPr="0075769F">
              <w:rPr>
                <w:rFonts w:ascii="Calibri" w:eastAsia="Times New Roman" w:hAnsi="Calibri" w:cs="Calibri"/>
                <w:i/>
                <w:iCs/>
                <w:color w:val="000000"/>
                <w:lang w:val="en-GB" w:eastAsia="en-GB"/>
              </w:rPr>
              <w:t>0.49</w:t>
            </w:r>
          </w:p>
        </w:tc>
        <w:tc>
          <w:tcPr>
            <w:tcW w:w="1580" w:type="dxa"/>
            <w:tcBorders>
              <w:top w:val="nil"/>
              <w:left w:val="nil"/>
              <w:bottom w:val="nil"/>
              <w:right w:val="single" w:sz="8" w:space="0" w:color="auto"/>
            </w:tcBorders>
            <w:shd w:val="clear" w:color="000000" w:fill="E2EFDA"/>
            <w:noWrap/>
            <w:vAlign w:val="bottom"/>
            <w:hideMark/>
          </w:tcPr>
          <w:p w14:paraId="4784CE56" w14:textId="77777777" w:rsidR="0075769F" w:rsidRPr="0075769F" w:rsidRDefault="0075769F" w:rsidP="0075769F">
            <w:pPr>
              <w:jc w:val="right"/>
              <w:rPr>
                <w:rFonts w:ascii="Calibri" w:eastAsia="Times New Roman" w:hAnsi="Calibri" w:cs="Calibri"/>
                <w:i/>
                <w:iCs/>
                <w:color w:val="000000"/>
                <w:lang w:val="en-GB" w:eastAsia="en-GB"/>
              </w:rPr>
            </w:pPr>
            <w:r w:rsidRPr="0075769F">
              <w:rPr>
                <w:rFonts w:ascii="Calibri" w:eastAsia="Times New Roman" w:hAnsi="Calibri" w:cs="Calibri"/>
                <w:i/>
                <w:iCs/>
                <w:color w:val="000000"/>
                <w:lang w:val="en-GB" w:eastAsia="en-GB"/>
              </w:rPr>
              <w:t>1.07</w:t>
            </w:r>
          </w:p>
        </w:tc>
      </w:tr>
      <w:tr w:rsidR="0075769F" w:rsidRPr="0075769F" w14:paraId="489F1310" w14:textId="77777777" w:rsidTr="0075769F">
        <w:trPr>
          <w:trHeight w:val="320"/>
        </w:trPr>
        <w:tc>
          <w:tcPr>
            <w:tcW w:w="2120" w:type="dxa"/>
            <w:tcBorders>
              <w:top w:val="nil"/>
              <w:left w:val="single" w:sz="8" w:space="0" w:color="auto"/>
              <w:bottom w:val="nil"/>
              <w:right w:val="nil"/>
            </w:tcBorders>
            <w:shd w:val="clear" w:color="auto" w:fill="auto"/>
            <w:noWrap/>
            <w:vAlign w:val="bottom"/>
            <w:hideMark/>
          </w:tcPr>
          <w:p w14:paraId="2B299A6C" w14:textId="77777777" w:rsidR="0075769F" w:rsidRPr="0075769F" w:rsidRDefault="0075769F" w:rsidP="0075769F">
            <w:pPr>
              <w:rPr>
                <w:rFonts w:ascii="Calibri" w:eastAsia="Times New Roman" w:hAnsi="Calibri" w:cs="Calibri"/>
                <w:i/>
                <w:iCs/>
                <w:color w:val="000000"/>
                <w:lang w:val="en-GB" w:eastAsia="en-GB"/>
              </w:rPr>
            </w:pPr>
            <w:r w:rsidRPr="0075769F">
              <w:rPr>
                <w:rFonts w:ascii="Calibri" w:eastAsia="Times New Roman" w:hAnsi="Calibri" w:cs="Calibri"/>
                <w:i/>
                <w:iCs/>
                <w:color w:val="000000"/>
                <w:lang w:val="en-GB" w:eastAsia="en-GB"/>
              </w:rPr>
              <w:t>GIS</w:t>
            </w:r>
          </w:p>
        </w:tc>
        <w:tc>
          <w:tcPr>
            <w:tcW w:w="2440" w:type="dxa"/>
            <w:tcBorders>
              <w:top w:val="nil"/>
              <w:left w:val="nil"/>
              <w:bottom w:val="nil"/>
              <w:right w:val="nil"/>
            </w:tcBorders>
            <w:shd w:val="clear" w:color="auto" w:fill="auto"/>
            <w:noWrap/>
            <w:vAlign w:val="bottom"/>
            <w:hideMark/>
          </w:tcPr>
          <w:p w14:paraId="7615F214" w14:textId="77777777" w:rsidR="0075769F" w:rsidRPr="0075769F" w:rsidRDefault="0075769F" w:rsidP="0075769F">
            <w:pPr>
              <w:jc w:val="right"/>
              <w:rPr>
                <w:rFonts w:ascii="Calibri" w:eastAsia="Times New Roman" w:hAnsi="Calibri" w:cs="Calibri"/>
                <w:i/>
                <w:iCs/>
                <w:color w:val="000000"/>
                <w:lang w:val="en-GB" w:eastAsia="en-GB"/>
              </w:rPr>
            </w:pPr>
            <w:r w:rsidRPr="0075769F">
              <w:rPr>
                <w:rFonts w:ascii="Calibri" w:eastAsia="Times New Roman" w:hAnsi="Calibri" w:cs="Calibri"/>
                <w:i/>
                <w:iCs/>
                <w:color w:val="000000"/>
                <w:lang w:val="en-GB" w:eastAsia="en-GB"/>
              </w:rPr>
              <w:t>0.85</w:t>
            </w:r>
          </w:p>
        </w:tc>
        <w:tc>
          <w:tcPr>
            <w:tcW w:w="1580" w:type="dxa"/>
            <w:tcBorders>
              <w:top w:val="nil"/>
              <w:left w:val="nil"/>
              <w:bottom w:val="nil"/>
              <w:right w:val="single" w:sz="8" w:space="0" w:color="auto"/>
            </w:tcBorders>
            <w:shd w:val="clear" w:color="auto" w:fill="auto"/>
            <w:noWrap/>
            <w:vAlign w:val="bottom"/>
            <w:hideMark/>
          </w:tcPr>
          <w:p w14:paraId="42F4E918" w14:textId="77777777" w:rsidR="0075769F" w:rsidRPr="0075769F" w:rsidRDefault="0075769F" w:rsidP="0075769F">
            <w:pPr>
              <w:jc w:val="right"/>
              <w:rPr>
                <w:rFonts w:ascii="Calibri" w:eastAsia="Times New Roman" w:hAnsi="Calibri" w:cs="Calibri"/>
                <w:i/>
                <w:iCs/>
                <w:color w:val="000000"/>
                <w:lang w:val="en-GB" w:eastAsia="en-GB"/>
              </w:rPr>
            </w:pPr>
            <w:r w:rsidRPr="0075769F">
              <w:rPr>
                <w:rFonts w:ascii="Calibri" w:eastAsia="Times New Roman" w:hAnsi="Calibri" w:cs="Calibri"/>
                <w:i/>
                <w:iCs/>
                <w:color w:val="000000"/>
                <w:lang w:val="en-GB" w:eastAsia="en-GB"/>
              </w:rPr>
              <w:t>0.34</w:t>
            </w:r>
          </w:p>
        </w:tc>
      </w:tr>
      <w:tr w:rsidR="0075769F" w:rsidRPr="0075769F" w14:paraId="005E994F" w14:textId="77777777" w:rsidTr="0075769F">
        <w:trPr>
          <w:trHeight w:val="320"/>
        </w:trPr>
        <w:tc>
          <w:tcPr>
            <w:tcW w:w="2120" w:type="dxa"/>
            <w:tcBorders>
              <w:top w:val="nil"/>
              <w:left w:val="single" w:sz="8" w:space="0" w:color="auto"/>
              <w:bottom w:val="nil"/>
              <w:right w:val="nil"/>
            </w:tcBorders>
            <w:shd w:val="clear" w:color="000000" w:fill="E2EFDA"/>
            <w:noWrap/>
            <w:vAlign w:val="bottom"/>
            <w:hideMark/>
          </w:tcPr>
          <w:p w14:paraId="19AB2262" w14:textId="77777777" w:rsidR="0075769F" w:rsidRPr="0075769F" w:rsidRDefault="0075769F" w:rsidP="0075769F">
            <w:pPr>
              <w:rPr>
                <w:rFonts w:ascii="Calibri" w:eastAsia="Times New Roman" w:hAnsi="Calibri" w:cs="Calibri"/>
                <w:b/>
                <w:bCs/>
                <w:i/>
                <w:iCs/>
                <w:color w:val="000000"/>
                <w:lang w:val="en-GB" w:eastAsia="en-GB"/>
              </w:rPr>
            </w:pPr>
            <w:r w:rsidRPr="0075769F">
              <w:rPr>
                <w:rFonts w:ascii="Calibri" w:eastAsia="Times New Roman" w:hAnsi="Calibri" w:cs="Calibri"/>
                <w:b/>
                <w:bCs/>
                <w:i/>
                <w:iCs/>
                <w:color w:val="000000"/>
                <w:lang w:val="en-GB" w:eastAsia="en-GB"/>
              </w:rPr>
              <w:t>OG*AOH*GKS*GIS</w:t>
            </w:r>
          </w:p>
        </w:tc>
        <w:tc>
          <w:tcPr>
            <w:tcW w:w="2440" w:type="dxa"/>
            <w:tcBorders>
              <w:top w:val="nil"/>
              <w:left w:val="nil"/>
              <w:bottom w:val="nil"/>
              <w:right w:val="nil"/>
            </w:tcBorders>
            <w:shd w:val="clear" w:color="000000" w:fill="E2EFDA"/>
            <w:noWrap/>
            <w:vAlign w:val="bottom"/>
            <w:hideMark/>
          </w:tcPr>
          <w:p w14:paraId="5552CDB6" w14:textId="77777777" w:rsidR="0075769F" w:rsidRPr="0075769F" w:rsidRDefault="0075769F" w:rsidP="0075769F">
            <w:pPr>
              <w:jc w:val="right"/>
              <w:rPr>
                <w:rFonts w:ascii="Calibri" w:eastAsia="Times New Roman" w:hAnsi="Calibri" w:cs="Calibri"/>
                <w:b/>
                <w:bCs/>
                <w:color w:val="000000"/>
                <w:lang w:val="en-GB" w:eastAsia="en-GB"/>
              </w:rPr>
            </w:pPr>
            <w:r w:rsidRPr="0075769F">
              <w:rPr>
                <w:rFonts w:ascii="Calibri" w:eastAsia="Times New Roman" w:hAnsi="Calibri" w:cs="Calibri"/>
                <w:b/>
                <w:bCs/>
                <w:color w:val="000000"/>
                <w:lang w:val="en-GB" w:eastAsia="en-GB"/>
              </w:rPr>
              <w:t>13.51%</w:t>
            </w:r>
          </w:p>
        </w:tc>
        <w:tc>
          <w:tcPr>
            <w:tcW w:w="1580" w:type="dxa"/>
            <w:tcBorders>
              <w:top w:val="nil"/>
              <w:left w:val="nil"/>
              <w:bottom w:val="nil"/>
              <w:right w:val="single" w:sz="8" w:space="0" w:color="auto"/>
            </w:tcBorders>
            <w:shd w:val="clear" w:color="000000" w:fill="E2EFDA"/>
            <w:noWrap/>
            <w:vAlign w:val="bottom"/>
            <w:hideMark/>
          </w:tcPr>
          <w:p w14:paraId="64AA9D3A" w14:textId="77777777" w:rsidR="0075769F" w:rsidRPr="0075769F" w:rsidRDefault="0075769F" w:rsidP="0075769F">
            <w:pPr>
              <w:jc w:val="right"/>
              <w:rPr>
                <w:rFonts w:ascii="Calibri" w:eastAsia="Times New Roman" w:hAnsi="Calibri" w:cs="Calibri"/>
                <w:b/>
                <w:bCs/>
                <w:color w:val="000000"/>
                <w:lang w:val="en-GB" w:eastAsia="en-GB"/>
              </w:rPr>
            </w:pPr>
            <w:r w:rsidRPr="0075769F">
              <w:rPr>
                <w:rFonts w:ascii="Calibri" w:eastAsia="Times New Roman" w:hAnsi="Calibri" w:cs="Calibri"/>
                <w:b/>
                <w:bCs/>
                <w:color w:val="000000"/>
                <w:lang w:val="en-GB" w:eastAsia="en-GB"/>
              </w:rPr>
              <w:t>5.32%</w:t>
            </w:r>
          </w:p>
        </w:tc>
      </w:tr>
      <w:tr w:rsidR="0075769F" w:rsidRPr="0075769F" w14:paraId="241248A9" w14:textId="77777777" w:rsidTr="0075769F">
        <w:trPr>
          <w:trHeight w:val="320"/>
        </w:trPr>
        <w:tc>
          <w:tcPr>
            <w:tcW w:w="2120" w:type="dxa"/>
            <w:tcBorders>
              <w:top w:val="nil"/>
              <w:left w:val="single" w:sz="8" w:space="0" w:color="auto"/>
              <w:bottom w:val="nil"/>
              <w:right w:val="nil"/>
            </w:tcBorders>
            <w:shd w:val="clear" w:color="auto" w:fill="auto"/>
            <w:noWrap/>
            <w:vAlign w:val="bottom"/>
            <w:hideMark/>
          </w:tcPr>
          <w:p w14:paraId="482C1A01" w14:textId="77777777" w:rsidR="0075769F" w:rsidRPr="0075769F" w:rsidRDefault="0075769F" w:rsidP="0075769F">
            <w:pPr>
              <w:rPr>
                <w:rFonts w:ascii="Calibri" w:eastAsia="Times New Roman" w:hAnsi="Calibri" w:cs="Calibri"/>
                <w:i/>
                <w:iCs/>
                <w:color w:val="000000"/>
                <w:lang w:val="en-GB" w:eastAsia="en-GB"/>
              </w:rPr>
            </w:pPr>
            <w:r w:rsidRPr="0075769F">
              <w:rPr>
                <w:rFonts w:ascii="Calibri" w:eastAsia="Times New Roman" w:hAnsi="Calibri" w:cs="Calibri"/>
                <w:i/>
                <w:iCs/>
                <w:color w:val="000000"/>
                <w:lang w:val="en-GB" w:eastAsia="en-GB"/>
              </w:rPr>
              <w:t>P/E</w:t>
            </w:r>
          </w:p>
        </w:tc>
        <w:tc>
          <w:tcPr>
            <w:tcW w:w="2440" w:type="dxa"/>
            <w:tcBorders>
              <w:top w:val="nil"/>
              <w:left w:val="nil"/>
              <w:bottom w:val="nil"/>
              <w:right w:val="nil"/>
            </w:tcBorders>
            <w:shd w:val="clear" w:color="auto" w:fill="auto"/>
            <w:noWrap/>
            <w:vAlign w:val="bottom"/>
            <w:hideMark/>
          </w:tcPr>
          <w:p w14:paraId="5EEE7BF1" w14:textId="77777777" w:rsidR="0075769F" w:rsidRPr="0075769F" w:rsidRDefault="0075769F" w:rsidP="0075769F">
            <w:pPr>
              <w:jc w:val="right"/>
              <w:rPr>
                <w:rFonts w:ascii="Calibri" w:eastAsia="Times New Roman" w:hAnsi="Calibri" w:cs="Calibri"/>
                <w:i/>
                <w:iCs/>
                <w:color w:val="000000"/>
                <w:lang w:val="en-GB" w:eastAsia="en-GB"/>
              </w:rPr>
            </w:pPr>
            <w:r w:rsidRPr="0075769F">
              <w:rPr>
                <w:rFonts w:ascii="Calibri" w:eastAsia="Times New Roman" w:hAnsi="Calibri" w:cs="Calibri"/>
                <w:i/>
                <w:iCs/>
                <w:color w:val="000000"/>
                <w:lang w:val="en-GB" w:eastAsia="en-GB"/>
              </w:rPr>
              <w:t>60.95</w:t>
            </w:r>
          </w:p>
        </w:tc>
        <w:tc>
          <w:tcPr>
            <w:tcW w:w="1580" w:type="dxa"/>
            <w:tcBorders>
              <w:top w:val="nil"/>
              <w:left w:val="nil"/>
              <w:bottom w:val="nil"/>
              <w:right w:val="single" w:sz="8" w:space="0" w:color="auto"/>
            </w:tcBorders>
            <w:shd w:val="clear" w:color="auto" w:fill="auto"/>
            <w:noWrap/>
            <w:vAlign w:val="bottom"/>
            <w:hideMark/>
          </w:tcPr>
          <w:p w14:paraId="7E15C422" w14:textId="77777777" w:rsidR="0075769F" w:rsidRPr="0075769F" w:rsidRDefault="0075769F" w:rsidP="0075769F">
            <w:pPr>
              <w:jc w:val="right"/>
              <w:rPr>
                <w:rFonts w:ascii="Calibri" w:eastAsia="Times New Roman" w:hAnsi="Calibri" w:cs="Calibri"/>
                <w:i/>
                <w:iCs/>
                <w:color w:val="000000"/>
                <w:lang w:val="en-GB" w:eastAsia="en-GB"/>
              </w:rPr>
            </w:pPr>
            <w:r w:rsidRPr="0075769F">
              <w:rPr>
                <w:rFonts w:ascii="Calibri" w:eastAsia="Times New Roman" w:hAnsi="Calibri" w:cs="Calibri"/>
                <w:i/>
                <w:iCs/>
                <w:color w:val="000000"/>
                <w:lang w:val="en-GB" w:eastAsia="en-GB"/>
              </w:rPr>
              <w:t>136.71</w:t>
            </w:r>
          </w:p>
        </w:tc>
      </w:tr>
      <w:tr w:rsidR="0075769F" w:rsidRPr="0075769F" w14:paraId="43784162" w14:textId="77777777" w:rsidTr="0075769F">
        <w:trPr>
          <w:trHeight w:val="320"/>
        </w:trPr>
        <w:tc>
          <w:tcPr>
            <w:tcW w:w="2120" w:type="dxa"/>
            <w:tcBorders>
              <w:top w:val="nil"/>
              <w:left w:val="single" w:sz="8" w:space="0" w:color="auto"/>
              <w:bottom w:val="nil"/>
              <w:right w:val="nil"/>
            </w:tcBorders>
            <w:shd w:val="clear" w:color="000000" w:fill="E2EFDA"/>
            <w:noWrap/>
            <w:vAlign w:val="bottom"/>
            <w:hideMark/>
          </w:tcPr>
          <w:p w14:paraId="6C7A3C0E" w14:textId="77777777" w:rsidR="0075769F" w:rsidRPr="0075769F" w:rsidRDefault="0075769F" w:rsidP="0075769F">
            <w:pPr>
              <w:rPr>
                <w:rFonts w:ascii="Calibri" w:eastAsia="Times New Roman" w:hAnsi="Calibri" w:cs="Calibri"/>
                <w:i/>
                <w:iCs/>
                <w:color w:val="000000"/>
                <w:lang w:val="en-GB" w:eastAsia="en-GB"/>
              </w:rPr>
            </w:pPr>
            <w:r w:rsidRPr="0075769F">
              <w:rPr>
                <w:rFonts w:ascii="Calibri" w:eastAsia="Times New Roman" w:hAnsi="Calibri" w:cs="Calibri"/>
                <w:i/>
                <w:iCs/>
                <w:color w:val="000000"/>
                <w:lang w:val="en-GB" w:eastAsia="en-GB"/>
              </w:rPr>
              <w:t>RG</w:t>
            </w:r>
          </w:p>
        </w:tc>
        <w:tc>
          <w:tcPr>
            <w:tcW w:w="2440" w:type="dxa"/>
            <w:tcBorders>
              <w:top w:val="nil"/>
              <w:left w:val="nil"/>
              <w:bottom w:val="nil"/>
              <w:right w:val="nil"/>
            </w:tcBorders>
            <w:shd w:val="clear" w:color="000000" w:fill="E2EFDA"/>
            <w:noWrap/>
            <w:vAlign w:val="bottom"/>
            <w:hideMark/>
          </w:tcPr>
          <w:p w14:paraId="285EDBED" w14:textId="77777777" w:rsidR="0075769F" w:rsidRPr="0075769F" w:rsidRDefault="0075769F" w:rsidP="0075769F">
            <w:pPr>
              <w:jc w:val="right"/>
              <w:rPr>
                <w:rFonts w:ascii="Calibri" w:eastAsia="Times New Roman" w:hAnsi="Calibri" w:cs="Calibri"/>
                <w:i/>
                <w:iCs/>
                <w:color w:val="000000"/>
                <w:lang w:val="en-GB" w:eastAsia="en-GB"/>
              </w:rPr>
            </w:pPr>
            <w:r w:rsidRPr="0075769F">
              <w:rPr>
                <w:rFonts w:ascii="Calibri" w:eastAsia="Times New Roman" w:hAnsi="Calibri" w:cs="Calibri"/>
                <w:i/>
                <w:iCs/>
                <w:color w:val="000000"/>
                <w:lang w:val="en-GB" w:eastAsia="en-GB"/>
              </w:rPr>
              <w:t>1.70%</w:t>
            </w:r>
          </w:p>
        </w:tc>
        <w:tc>
          <w:tcPr>
            <w:tcW w:w="1580" w:type="dxa"/>
            <w:tcBorders>
              <w:top w:val="nil"/>
              <w:left w:val="nil"/>
              <w:bottom w:val="nil"/>
              <w:right w:val="single" w:sz="8" w:space="0" w:color="auto"/>
            </w:tcBorders>
            <w:shd w:val="clear" w:color="000000" w:fill="E2EFDA"/>
            <w:noWrap/>
            <w:vAlign w:val="bottom"/>
            <w:hideMark/>
          </w:tcPr>
          <w:p w14:paraId="5A27C9DE" w14:textId="77777777" w:rsidR="0075769F" w:rsidRPr="0075769F" w:rsidRDefault="0075769F" w:rsidP="0075769F">
            <w:pPr>
              <w:jc w:val="right"/>
              <w:rPr>
                <w:rFonts w:ascii="Calibri" w:eastAsia="Times New Roman" w:hAnsi="Calibri" w:cs="Calibri"/>
                <w:i/>
                <w:iCs/>
                <w:color w:val="000000"/>
                <w:lang w:val="en-GB" w:eastAsia="en-GB"/>
              </w:rPr>
            </w:pPr>
            <w:r w:rsidRPr="0075769F">
              <w:rPr>
                <w:rFonts w:ascii="Calibri" w:eastAsia="Times New Roman" w:hAnsi="Calibri" w:cs="Calibri"/>
                <w:i/>
                <w:iCs/>
                <w:color w:val="000000"/>
                <w:lang w:val="en-GB" w:eastAsia="en-GB"/>
              </w:rPr>
              <w:t>4.84%</w:t>
            </w:r>
          </w:p>
        </w:tc>
      </w:tr>
      <w:tr w:rsidR="0075769F" w:rsidRPr="0075769F" w14:paraId="46803EFA" w14:textId="77777777" w:rsidTr="0075769F">
        <w:trPr>
          <w:trHeight w:val="340"/>
        </w:trPr>
        <w:tc>
          <w:tcPr>
            <w:tcW w:w="2120" w:type="dxa"/>
            <w:tcBorders>
              <w:top w:val="nil"/>
              <w:left w:val="single" w:sz="8" w:space="0" w:color="auto"/>
              <w:bottom w:val="single" w:sz="8" w:space="0" w:color="auto"/>
              <w:right w:val="nil"/>
            </w:tcBorders>
            <w:shd w:val="clear" w:color="auto" w:fill="auto"/>
            <w:noWrap/>
            <w:vAlign w:val="bottom"/>
            <w:hideMark/>
          </w:tcPr>
          <w:p w14:paraId="7771307A" w14:textId="77777777" w:rsidR="0075769F" w:rsidRPr="0075769F" w:rsidRDefault="0075769F" w:rsidP="0075769F">
            <w:pPr>
              <w:rPr>
                <w:rFonts w:ascii="Calibri" w:eastAsia="Times New Roman" w:hAnsi="Calibri" w:cs="Calibri"/>
                <w:b/>
                <w:bCs/>
                <w:i/>
                <w:iCs/>
                <w:color w:val="000000"/>
                <w:lang w:val="en-GB" w:eastAsia="en-GB"/>
              </w:rPr>
            </w:pPr>
            <w:r w:rsidRPr="0075769F">
              <w:rPr>
                <w:rFonts w:ascii="Calibri" w:eastAsia="Times New Roman" w:hAnsi="Calibri" w:cs="Calibri"/>
                <w:b/>
                <w:bCs/>
                <w:i/>
                <w:iCs/>
                <w:color w:val="000000"/>
                <w:lang w:val="en-GB" w:eastAsia="en-GB"/>
              </w:rPr>
              <w:t>AG+(AG-RG)*G</w:t>
            </w:r>
          </w:p>
        </w:tc>
        <w:tc>
          <w:tcPr>
            <w:tcW w:w="2440" w:type="dxa"/>
            <w:tcBorders>
              <w:top w:val="nil"/>
              <w:left w:val="nil"/>
              <w:bottom w:val="single" w:sz="8" w:space="0" w:color="auto"/>
              <w:right w:val="nil"/>
            </w:tcBorders>
            <w:shd w:val="clear" w:color="auto" w:fill="auto"/>
            <w:noWrap/>
            <w:vAlign w:val="bottom"/>
            <w:hideMark/>
          </w:tcPr>
          <w:p w14:paraId="4C5DBD64" w14:textId="77777777" w:rsidR="0075769F" w:rsidRPr="0075769F" w:rsidRDefault="0075769F" w:rsidP="0075769F">
            <w:pPr>
              <w:jc w:val="right"/>
              <w:rPr>
                <w:rFonts w:ascii="Calibri" w:eastAsia="Times New Roman" w:hAnsi="Calibri" w:cs="Calibri"/>
                <w:b/>
                <w:bCs/>
                <w:color w:val="000000"/>
                <w:lang w:val="en-GB" w:eastAsia="en-GB"/>
              </w:rPr>
            </w:pPr>
            <w:r w:rsidRPr="0075769F">
              <w:rPr>
                <w:rFonts w:ascii="Calibri" w:eastAsia="Times New Roman" w:hAnsi="Calibri" w:cs="Calibri"/>
                <w:b/>
                <w:bCs/>
                <w:color w:val="000000"/>
                <w:lang w:val="en-GB" w:eastAsia="en-GB"/>
              </w:rPr>
              <w:t>13.51%</w:t>
            </w:r>
          </w:p>
        </w:tc>
        <w:tc>
          <w:tcPr>
            <w:tcW w:w="1580" w:type="dxa"/>
            <w:tcBorders>
              <w:top w:val="nil"/>
              <w:left w:val="nil"/>
              <w:bottom w:val="single" w:sz="8" w:space="0" w:color="auto"/>
              <w:right w:val="single" w:sz="8" w:space="0" w:color="auto"/>
            </w:tcBorders>
            <w:shd w:val="clear" w:color="auto" w:fill="auto"/>
            <w:noWrap/>
            <w:vAlign w:val="bottom"/>
            <w:hideMark/>
          </w:tcPr>
          <w:p w14:paraId="433795F2" w14:textId="77777777" w:rsidR="0075769F" w:rsidRPr="0075769F" w:rsidRDefault="0075769F" w:rsidP="0075769F">
            <w:pPr>
              <w:jc w:val="right"/>
              <w:rPr>
                <w:rFonts w:ascii="Calibri" w:eastAsia="Times New Roman" w:hAnsi="Calibri" w:cs="Calibri"/>
                <w:b/>
                <w:bCs/>
                <w:color w:val="000000"/>
                <w:lang w:val="en-GB" w:eastAsia="en-GB"/>
              </w:rPr>
            </w:pPr>
            <w:r w:rsidRPr="0075769F">
              <w:rPr>
                <w:rFonts w:ascii="Calibri" w:eastAsia="Times New Roman" w:hAnsi="Calibri" w:cs="Calibri"/>
                <w:b/>
                <w:bCs/>
                <w:color w:val="000000"/>
                <w:lang w:val="en-GB" w:eastAsia="en-GB"/>
              </w:rPr>
              <w:t>5.32%</w:t>
            </w:r>
          </w:p>
        </w:tc>
      </w:tr>
    </w:tbl>
    <w:p w14:paraId="4E84A3FE" w14:textId="77BEF091" w:rsidR="001376D0" w:rsidRDefault="001376D0" w:rsidP="001376D0">
      <w:pPr>
        <w:spacing w:line="360" w:lineRule="auto"/>
        <w:rPr>
          <w:rFonts w:ascii="Georgia" w:hAnsi="Georgia"/>
          <w:b/>
          <w:bCs/>
          <w:sz w:val="22"/>
          <w:szCs w:val="22"/>
        </w:rPr>
      </w:pPr>
    </w:p>
    <w:p w14:paraId="128EFC70" w14:textId="17EE1EC5" w:rsidR="009267A7" w:rsidRPr="009267A7" w:rsidRDefault="00446532" w:rsidP="009267A7">
      <w:pPr>
        <w:pStyle w:val="ListParagraph"/>
        <w:numPr>
          <w:ilvl w:val="0"/>
          <w:numId w:val="1"/>
        </w:numPr>
        <w:spacing w:line="360" w:lineRule="auto"/>
        <w:rPr>
          <w:rFonts w:ascii="Georgia" w:hAnsi="Georgia"/>
          <w:b/>
          <w:bCs/>
          <w:sz w:val="22"/>
          <w:szCs w:val="22"/>
        </w:rPr>
      </w:pPr>
      <w:r>
        <w:rPr>
          <w:rFonts w:ascii="Georgia" w:hAnsi="Georgia"/>
          <w:sz w:val="22"/>
          <w:szCs w:val="22"/>
        </w:rPr>
        <w:t xml:space="preserve">Egenkapital forrentningen viser ejernes afkast i virksomheden. Den viser dog ikke noget om gearing i virksomheden. I forhold til Anheuser har Carlsberg leveret et godt afkast for ejerne i hver deres virksomhed. Det gode afkast styrkes også af afkastningsgraden er højere i Carlsberg regnskab. I AG medregnes, at pengene kan komme fra andet end egenkapitalen, da det er afkastet, virksomheden skaber for både kreditorer og debitorer. Det er dog samlede passiver, derfor tages der ikke højde for hvor kapitalen kommer fra. Dog er Carlsbergs AG også højere end Anheusers. </w:t>
      </w:r>
      <w:r w:rsidR="00C5396A">
        <w:rPr>
          <w:rFonts w:ascii="Georgia" w:hAnsi="Georgia"/>
          <w:sz w:val="22"/>
          <w:szCs w:val="22"/>
        </w:rPr>
        <w:t xml:space="preserve">Der skal dog tages højde for, at </w:t>
      </w:r>
      <w:r w:rsidR="009267A7">
        <w:rPr>
          <w:rFonts w:ascii="Georgia" w:hAnsi="Georgia"/>
          <w:sz w:val="22"/>
          <w:szCs w:val="22"/>
        </w:rPr>
        <w:t xml:space="preserve">markedsværdien af den investerede kapital kan stadig være forskellig fra den regnskabsmæssige værdi. </w:t>
      </w:r>
    </w:p>
    <w:p w14:paraId="251F1D3F" w14:textId="4DD96850" w:rsidR="009267A7" w:rsidRPr="009267A7" w:rsidRDefault="009267A7" w:rsidP="009267A7">
      <w:pPr>
        <w:pStyle w:val="ListParagraph"/>
        <w:spacing w:line="360" w:lineRule="auto"/>
        <w:rPr>
          <w:rFonts w:ascii="Georgia" w:hAnsi="Georgia"/>
          <w:b/>
          <w:bCs/>
          <w:sz w:val="22"/>
          <w:szCs w:val="22"/>
        </w:rPr>
      </w:pPr>
      <w:r>
        <w:rPr>
          <w:rFonts w:ascii="Georgia" w:hAnsi="Georgia"/>
          <w:sz w:val="22"/>
          <w:szCs w:val="22"/>
        </w:rPr>
        <w:t xml:space="preserve">     Tager man et gennemsnit af egenkapitalen mellem primo/ultimo. Så afhænger det af </w:t>
      </w:r>
      <w:proofErr w:type="spellStart"/>
      <w:r>
        <w:rPr>
          <w:rFonts w:ascii="Georgia" w:hAnsi="Georgia"/>
          <w:sz w:val="22"/>
          <w:szCs w:val="22"/>
        </w:rPr>
        <w:t>primotallet</w:t>
      </w:r>
      <w:proofErr w:type="spellEnd"/>
      <w:r>
        <w:rPr>
          <w:rFonts w:ascii="Georgia" w:hAnsi="Georgia"/>
          <w:sz w:val="22"/>
          <w:szCs w:val="22"/>
        </w:rPr>
        <w:t>. Er primo mindre end ultimo, vil nævneren blive mindre. Derved højere EKF. Modsat er</w:t>
      </w:r>
      <w:r w:rsidR="00E57A77">
        <w:rPr>
          <w:rFonts w:ascii="Georgia" w:hAnsi="Georgia"/>
          <w:sz w:val="22"/>
          <w:szCs w:val="22"/>
        </w:rPr>
        <w:t xml:space="preserve"> primo større end ultimo, så vil EKF blive mindre end det beregnet. </w:t>
      </w:r>
    </w:p>
    <w:p w14:paraId="508009A8" w14:textId="28D4106C" w:rsidR="00446532" w:rsidRPr="002F713D" w:rsidRDefault="00E57A77" w:rsidP="00446532">
      <w:pPr>
        <w:pStyle w:val="ListParagraph"/>
        <w:numPr>
          <w:ilvl w:val="0"/>
          <w:numId w:val="1"/>
        </w:numPr>
        <w:spacing w:line="360" w:lineRule="auto"/>
        <w:rPr>
          <w:rFonts w:ascii="Georgia" w:hAnsi="Georgia"/>
          <w:b/>
          <w:bCs/>
          <w:sz w:val="22"/>
          <w:szCs w:val="22"/>
        </w:rPr>
      </w:pPr>
      <w:r>
        <w:rPr>
          <w:rFonts w:ascii="Georgia" w:hAnsi="Georgia"/>
          <w:sz w:val="22"/>
          <w:szCs w:val="22"/>
        </w:rPr>
        <w:t xml:space="preserve">Ud fra </w:t>
      </w:r>
      <w:proofErr w:type="spellStart"/>
      <w:r>
        <w:rPr>
          <w:rFonts w:ascii="Georgia" w:hAnsi="Georgia"/>
          <w:sz w:val="22"/>
          <w:szCs w:val="22"/>
        </w:rPr>
        <w:t>dekomponeringen</w:t>
      </w:r>
      <w:proofErr w:type="spellEnd"/>
      <w:r>
        <w:rPr>
          <w:rFonts w:ascii="Georgia" w:hAnsi="Georgia"/>
          <w:sz w:val="22"/>
          <w:szCs w:val="22"/>
        </w:rPr>
        <w:t xml:space="preserve">, kan det udledes, at størstedelen af salget i gennemsnit går til investorerne. Dette ses blandt andet ved OG på 28% ved Anheuser kontra 10% for Carlsberg. Dog omsætter Carlsberg sine aktiver næsten 3 gange hurtigere årligt som Anheuser. Ud fra GKS ses det også Anheuser er mere gældsfinansieret end Carlsberg, hvilket GIS tallet understøtter. Her ses det, at </w:t>
      </w:r>
      <w:r w:rsidR="002F713D">
        <w:rPr>
          <w:rFonts w:ascii="Georgia" w:hAnsi="Georgia"/>
          <w:sz w:val="22"/>
          <w:szCs w:val="22"/>
        </w:rPr>
        <w:t xml:space="preserve">en langt større andel af virksomhedens overskud tilfalder Carlsbergs ejere modsat Anheusers. </w:t>
      </w:r>
    </w:p>
    <w:p w14:paraId="6A86C79D" w14:textId="3F0291E7" w:rsidR="002F713D" w:rsidRDefault="0075769F" w:rsidP="0075769F">
      <w:pPr>
        <w:pStyle w:val="ListParagraph"/>
        <w:numPr>
          <w:ilvl w:val="0"/>
          <w:numId w:val="1"/>
        </w:numPr>
        <w:spacing w:line="360" w:lineRule="auto"/>
        <w:rPr>
          <w:rFonts w:ascii="Georgia" w:hAnsi="Georgia"/>
          <w:b/>
          <w:bCs/>
          <w:sz w:val="22"/>
          <w:szCs w:val="22"/>
        </w:rPr>
      </w:pPr>
      <w:r>
        <w:rPr>
          <w:rFonts w:ascii="Georgia" w:hAnsi="Georgia"/>
          <w:sz w:val="22"/>
          <w:szCs w:val="22"/>
        </w:rPr>
        <w:lastRenderedPageBreak/>
        <w:t>I begge virksomheder bidrager g</w:t>
      </w:r>
      <w:r w:rsidR="0043300A">
        <w:rPr>
          <w:rFonts w:ascii="Georgia" w:hAnsi="Georgia"/>
          <w:sz w:val="22"/>
          <w:szCs w:val="22"/>
        </w:rPr>
        <w:t>earingen</w:t>
      </w:r>
      <w:r>
        <w:rPr>
          <w:rFonts w:ascii="Georgia" w:hAnsi="Georgia"/>
          <w:sz w:val="22"/>
          <w:szCs w:val="22"/>
        </w:rPr>
        <w:t xml:space="preserve"> positivt til EKF. </w:t>
      </w:r>
      <w:r w:rsidR="0043300A">
        <w:rPr>
          <w:rFonts w:ascii="Georgia" w:hAnsi="Georgia"/>
          <w:sz w:val="22"/>
          <w:szCs w:val="22"/>
        </w:rPr>
        <w:t xml:space="preserve">Dog er Anheusers renteomkostninger større end Carlsbergs. Derved større bidrag fra Carlsbergs gearing kontra Anheusers. Det skal dog nævnes, at RG er højere for Anheuser, da deres gearing også er højere.  </w:t>
      </w:r>
    </w:p>
    <w:p w14:paraId="4068B9F4" w14:textId="3D38E568" w:rsidR="00E20A17" w:rsidRPr="00E20A17" w:rsidRDefault="0043300A" w:rsidP="0075769F">
      <w:pPr>
        <w:pStyle w:val="ListParagraph"/>
        <w:numPr>
          <w:ilvl w:val="0"/>
          <w:numId w:val="1"/>
        </w:numPr>
        <w:spacing w:line="360" w:lineRule="auto"/>
        <w:rPr>
          <w:rFonts w:ascii="Georgia" w:hAnsi="Georgia"/>
          <w:b/>
          <w:bCs/>
          <w:sz w:val="22"/>
          <w:szCs w:val="22"/>
        </w:rPr>
      </w:pPr>
      <w:r>
        <w:rPr>
          <w:rFonts w:ascii="Georgia" w:hAnsi="Georgia"/>
          <w:sz w:val="22"/>
          <w:szCs w:val="22"/>
        </w:rPr>
        <w:t xml:space="preserve">Likviditetsanalyse er vigtigt, da det viser virksomheden tilbagebetalingsevne. På kort sigt har Carlsberg et mindre problem, da virksomheden har en del kortfristet gæld, der falder inden for årets udgang. Dog havde Carlsberg ikke omsætningsaktiverne til at udbetale gælden på daværende tidspunkt. Derfor var der potentielt en risiko for mangelende tilbagebetaling til kreditorer. Det samme problem havde Anheuser ikke, da virksomheden havde </w:t>
      </w:r>
      <w:r w:rsidR="00E20A17">
        <w:rPr>
          <w:rFonts w:ascii="Georgia" w:hAnsi="Georgia"/>
          <w:sz w:val="22"/>
          <w:szCs w:val="22"/>
        </w:rPr>
        <w:t>omsætning</w:t>
      </w:r>
      <w:r w:rsidR="004A5B5A">
        <w:rPr>
          <w:rFonts w:ascii="Georgia" w:hAnsi="Georgia"/>
          <w:sz w:val="22"/>
          <w:szCs w:val="22"/>
        </w:rPr>
        <w:t>s</w:t>
      </w:r>
      <w:r w:rsidR="00E20A17">
        <w:rPr>
          <w:rFonts w:ascii="Georgia" w:hAnsi="Georgia"/>
          <w:sz w:val="22"/>
          <w:szCs w:val="22"/>
        </w:rPr>
        <w:t xml:space="preserve">aktiver på daværende tidspunkt til at afbetale til kreditorer. </w:t>
      </w:r>
    </w:p>
    <w:p w14:paraId="4BA7D0F0" w14:textId="48DBA237" w:rsidR="00E20A17" w:rsidRPr="00E20A17" w:rsidRDefault="00E20A17" w:rsidP="00E20A17">
      <w:pPr>
        <w:pStyle w:val="ListParagraph"/>
        <w:numPr>
          <w:ilvl w:val="0"/>
          <w:numId w:val="1"/>
        </w:numPr>
        <w:spacing w:line="360" w:lineRule="auto"/>
        <w:rPr>
          <w:rFonts w:ascii="Georgia" w:hAnsi="Georgia"/>
          <w:b/>
          <w:bCs/>
          <w:sz w:val="22"/>
          <w:szCs w:val="22"/>
        </w:rPr>
      </w:pPr>
      <w:r>
        <w:rPr>
          <w:rFonts w:ascii="Georgia" w:hAnsi="Georgia"/>
          <w:sz w:val="22"/>
          <w:szCs w:val="22"/>
        </w:rPr>
        <w:t>Aktiekursen var i januar 2016 582 kroner, og i december 2016 595 kroner</w:t>
      </w:r>
      <w:r w:rsidR="00620FC3">
        <w:rPr>
          <w:rFonts w:ascii="Georgia" w:hAnsi="Georgia"/>
          <w:sz w:val="22"/>
          <w:szCs w:val="22"/>
        </w:rPr>
        <w:t xml:space="preserve"> jf. Nordnet.dk</w:t>
      </w:r>
      <w:r>
        <w:rPr>
          <w:rFonts w:ascii="Georgia" w:hAnsi="Georgia"/>
          <w:sz w:val="22"/>
          <w:szCs w:val="22"/>
        </w:rPr>
        <w:t>.</w:t>
      </w:r>
    </w:p>
    <w:p w14:paraId="764E2519" w14:textId="0B5823CB" w:rsidR="00E20A17" w:rsidRPr="00620FC3" w:rsidRDefault="0030076E" w:rsidP="00E20A17">
      <w:pPr>
        <w:pStyle w:val="ListParagraph"/>
        <w:spacing w:line="360" w:lineRule="auto"/>
        <w:rPr>
          <w:rFonts w:ascii="Georgia" w:eastAsiaTheme="minorEastAsia" w:hAnsi="Georgia"/>
          <w:sz w:val="22"/>
          <w:szCs w:val="22"/>
        </w:rPr>
      </w:pPr>
      <m:oMathPara>
        <m:oMath>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595</m:t>
                  </m:r>
                </m:num>
                <m:den>
                  <m:r>
                    <w:rPr>
                      <w:rFonts w:ascii="Cambria Math" w:hAnsi="Cambria Math"/>
                      <w:sz w:val="22"/>
                      <w:szCs w:val="22"/>
                    </w:rPr>
                    <m:t>582</m:t>
                  </m:r>
                </m:den>
              </m:f>
              <m:r>
                <w:rPr>
                  <w:rFonts w:ascii="Cambria Math" w:hAnsi="Cambria Math"/>
                  <w:sz w:val="22"/>
                  <w:szCs w:val="22"/>
                </w:rPr>
                <m:t>-1</m:t>
              </m:r>
            </m:e>
          </m:d>
          <m:r>
            <w:rPr>
              <w:rFonts w:ascii="Cambria Math" w:hAnsi="Cambria Math"/>
              <w:sz w:val="22"/>
              <w:szCs w:val="22"/>
            </w:rPr>
            <m:t>·100=2,234</m:t>
          </m:r>
        </m:oMath>
      </m:oMathPara>
    </w:p>
    <w:p w14:paraId="26EFF015" w14:textId="77777777" w:rsidR="003F1FBB" w:rsidRDefault="00620FC3" w:rsidP="003F1FBB">
      <w:pPr>
        <w:pStyle w:val="ListParagraph"/>
        <w:spacing w:line="360" w:lineRule="auto"/>
        <w:ind w:left="1304" w:hanging="584"/>
        <w:jc w:val="center"/>
        <w:rPr>
          <w:rFonts w:ascii="Georgia" w:eastAsiaTheme="minorEastAsia" w:hAnsi="Georgia"/>
          <w:sz w:val="22"/>
          <w:szCs w:val="22"/>
        </w:rPr>
      </w:pPr>
      <w:r>
        <w:rPr>
          <w:rFonts w:ascii="Georgia" w:eastAsiaTheme="minorEastAsia" w:hAnsi="Georgia"/>
          <w:sz w:val="22"/>
          <w:szCs w:val="22"/>
        </w:rPr>
        <w:t>Dette giver et markedsmæssigt afkast på 2%</w:t>
      </w:r>
      <w:r w:rsidR="004A5B5A">
        <w:rPr>
          <w:rFonts w:ascii="Georgia" w:eastAsiaTheme="minorEastAsia" w:hAnsi="Georgia"/>
          <w:sz w:val="22"/>
          <w:szCs w:val="22"/>
        </w:rPr>
        <w:t>. Dette er en større afvigelse fra EKF.</w:t>
      </w:r>
    </w:p>
    <w:p w14:paraId="4155E434" w14:textId="5B0BA56D" w:rsidR="003F1FBB" w:rsidRDefault="004A5B5A" w:rsidP="003F1FBB">
      <w:pPr>
        <w:pStyle w:val="ListParagraph"/>
        <w:spacing w:line="360" w:lineRule="auto"/>
        <w:ind w:left="1304" w:hanging="584"/>
        <w:jc w:val="center"/>
        <w:rPr>
          <w:rFonts w:ascii="Georgia" w:eastAsiaTheme="minorEastAsia" w:hAnsi="Georgia"/>
          <w:sz w:val="22"/>
          <w:szCs w:val="22"/>
        </w:rPr>
      </w:pPr>
      <w:r w:rsidRPr="003F1FBB">
        <w:rPr>
          <w:rFonts w:ascii="Georgia" w:eastAsiaTheme="minorEastAsia" w:hAnsi="Georgia"/>
          <w:sz w:val="22"/>
          <w:szCs w:val="22"/>
        </w:rPr>
        <w:t xml:space="preserve">Forskellen kunne blandt andet være at </w:t>
      </w:r>
      <w:r w:rsidR="003F1FBB" w:rsidRPr="003F1FBB">
        <w:rPr>
          <w:rFonts w:ascii="Georgia" w:eastAsiaTheme="minorEastAsia" w:hAnsi="Georgia"/>
          <w:sz w:val="22"/>
          <w:szCs w:val="22"/>
        </w:rPr>
        <w:t>forventningerne på markedet.</w:t>
      </w:r>
      <w:r w:rsidR="003F1FBB">
        <w:rPr>
          <w:rFonts w:ascii="Georgia" w:eastAsiaTheme="minorEastAsia" w:hAnsi="Georgia"/>
          <w:sz w:val="22"/>
          <w:szCs w:val="22"/>
        </w:rPr>
        <w:t xml:space="preserve"> Den </w:t>
      </w:r>
      <w:r w:rsidR="003F1FBB" w:rsidRPr="003F1FBB">
        <w:rPr>
          <w:rFonts w:ascii="Georgia" w:eastAsiaTheme="minorEastAsia" w:hAnsi="Georgia"/>
          <w:sz w:val="22"/>
          <w:szCs w:val="22"/>
        </w:rPr>
        <w:t>markedsmæssige</w:t>
      </w:r>
    </w:p>
    <w:p w14:paraId="1734AD87" w14:textId="10E43D41" w:rsidR="004A5B5A" w:rsidRDefault="003F1FBB" w:rsidP="003F1FBB">
      <w:pPr>
        <w:pStyle w:val="ListParagraph"/>
        <w:spacing w:line="360" w:lineRule="auto"/>
        <w:ind w:left="1304" w:hanging="584"/>
        <w:jc w:val="center"/>
        <w:rPr>
          <w:rFonts w:ascii="Georgia" w:eastAsiaTheme="minorEastAsia" w:hAnsi="Georgia"/>
          <w:sz w:val="22"/>
          <w:szCs w:val="22"/>
        </w:rPr>
      </w:pPr>
      <w:r>
        <w:rPr>
          <w:rFonts w:ascii="Georgia" w:eastAsiaTheme="minorEastAsia" w:hAnsi="Georgia"/>
          <w:sz w:val="22"/>
          <w:szCs w:val="22"/>
        </w:rPr>
        <w:t>værdi kunne i forvejen have været pustet højt op. Modsat kunne investorer også have ventet på regnskabets offentliggørelse i februar/marts med at investere.</w:t>
      </w:r>
    </w:p>
    <w:p w14:paraId="5A2697AC" w14:textId="1CEC3489" w:rsidR="003F1FBB" w:rsidRPr="005C6889" w:rsidRDefault="003F1FBB" w:rsidP="003F1FBB">
      <w:pPr>
        <w:pStyle w:val="ListParagraph"/>
        <w:numPr>
          <w:ilvl w:val="0"/>
          <w:numId w:val="1"/>
        </w:numPr>
        <w:spacing w:line="360" w:lineRule="auto"/>
        <w:rPr>
          <w:rFonts w:ascii="Georgia" w:eastAsiaTheme="minorEastAsia" w:hAnsi="Georgia"/>
          <w:b/>
          <w:bCs/>
          <w:sz w:val="22"/>
          <w:szCs w:val="22"/>
        </w:rPr>
      </w:pPr>
      <w:r>
        <w:rPr>
          <w:rFonts w:ascii="Georgia" w:eastAsiaTheme="minorEastAsia" w:hAnsi="Georgia"/>
          <w:sz w:val="22"/>
          <w:szCs w:val="22"/>
        </w:rPr>
        <w:t>Carlsbergs p/e var i slutningen af 2016 60,95, kontra Anheusers på 136</w:t>
      </w:r>
      <w:r w:rsidR="005C6889">
        <w:rPr>
          <w:rFonts w:ascii="Georgia" w:eastAsiaTheme="minorEastAsia" w:hAnsi="Georgia"/>
          <w:sz w:val="22"/>
          <w:szCs w:val="22"/>
        </w:rPr>
        <w:t xml:space="preserve">,71. Steg begge virksomheder det samme i markedsværdi, ville investorer i Carlsberg tjene næsten dobbelt så meget. Selvom det gik godt regnskabsmæssigt for Carlsberg, gik det mindre godt for Carlsberg markedsmæssigt. Yderligere florerer Anheuser på en af verdens største børser, NY </w:t>
      </w:r>
      <w:proofErr w:type="spellStart"/>
      <w:r w:rsidR="005C6889">
        <w:rPr>
          <w:rFonts w:ascii="Georgia" w:eastAsiaTheme="minorEastAsia" w:hAnsi="Georgia"/>
          <w:sz w:val="22"/>
          <w:szCs w:val="22"/>
        </w:rPr>
        <w:t>Stock</w:t>
      </w:r>
      <w:proofErr w:type="spellEnd"/>
      <w:r w:rsidR="005C6889">
        <w:rPr>
          <w:rFonts w:ascii="Georgia" w:eastAsiaTheme="minorEastAsia" w:hAnsi="Georgia"/>
          <w:sz w:val="22"/>
          <w:szCs w:val="22"/>
        </w:rPr>
        <w:t xml:space="preserve"> Exchange. Samtidigt er Anheuser et markeds- og regnskabsmæssigt større firma end Carlsberg. </w:t>
      </w:r>
      <w:r>
        <w:rPr>
          <w:rFonts w:ascii="Georgia" w:eastAsiaTheme="minorEastAsia" w:hAnsi="Georgia"/>
          <w:sz w:val="22"/>
          <w:szCs w:val="22"/>
        </w:rPr>
        <w:t xml:space="preserve"> </w:t>
      </w:r>
    </w:p>
    <w:p w14:paraId="2CA83487" w14:textId="1C645123" w:rsidR="005C6889" w:rsidRDefault="005C6889" w:rsidP="005C6889">
      <w:pPr>
        <w:spacing w:line="360" w:lineRule="auto"/>
        <w:rPr>
          <w:rFonts w:ascii="Georgia" w:eastAsiaTheme="minorEastAsia" w:hAnsi="Georgia"/>
          <w:b/>
          <w:bCs/>
          <w:sz w:val="22"/>
          <w:szCs w:val="22"/>
        </w:rPr>
      </w:pPr>
    </w:p>
    <w:p w14:paraId="6665D1D4" w14:textId="29A6A65F" w:rsidR="005C6889" w:rsidRDefault="005C6889" w:rsidP="005C6889">
      <w:pPr>
        <w:spacing w:line="360" w:lineRule="auto"/>
        <w:rPr>
          <w:rFonts w:ascii="Georgia" w:hAnsi="Georgia"/>
          <w:b/>
          <w:bCs/>
          <w:sz w:val="22"/>
          <w:szCs w:val="22"/>
        </w:rPr>
      </w:pPr>
      <w:r>
        <w:rPr>
          <w:rFonts w:ascii="Georgia" w:hAnsi="Georgia"/>
          <w:b/>
          <w:bCs/>
          <w:sz w:val="22"/>
          <w:szCs w:val="22"/>
        </w:rPr>
        <w:t>Opgave 2 – Bogføring og regnskabsafslutning</w:t>
      </w:r>
    </w:p>
    <w:p w14:paraId="4F896EA0" w14:textId="77777777" w:rsidR="005C6889" w:rsidRPr="005C6889" w:rsidRDefault="005C6889" w:rsidP="005C6889">
      <w:pPr>
        <w:spacing w:line="360" w:lineRule="auto"/>
        <w:rPr>
          <w:rFonts w:ascii="Georgia" w:eastAsiaTheme="minorEastAsia" w:hAnsi="Georgia"/>
          <w:b/>
          <w:bCs/>
          <w:sz w:val="22"/>
          <w:szCs w:val="22"/>
        </w:rPr>
      </w:pPr>
    </w:p>
    <w:p w14:paraId="40FA8A76" w14:textId="2857C011" w:rsidR="00505239" w:rsidRDefault="00505239" w:rsidP="001376D0">
      <w:pPr>
        <w:spacing w:line="360" w:lineRule="auto"/>
        <w:rPr>
          <w:rFonts w:ascii="Georgia" w:hAnsi="Georgia"/>
          <w:sz w:val="22"/>
          <w:szCs w:val="22"/>
        </w:rPr>
      </w:pPr>
      <w:r>
        <w:rPr>
          <w:rFonts w:ascii="Georgia" w:hAnsi="Georgia"/>
          <w:sz w:val="22"/>
          <w:szCs w:val="22"/>
        </w:rPr>
        <w:t xml:space="preserve">(#1) 60.000 rigsdaler debiteres på likvider og krediteres på tilgodehavende. </w:t>
      </w:r>
    </w:p>
    <w:p w14:paraId="31D84DA2" w14:textId="2BD86998" w:rsidR="00505239" w:rsidRDefault="00505239" w:rsidP="001376D0">
      <w:pPr>
        <w:spacing w:line="360" w:lineRule="auto"/>
        <w:rPr>
          <w:rFonts w:ascii="Georgia" w:hAnsi="Georgia"/>
          <w:sz w:val="22"/>
          <w:szCs w:val="22"/>
        </w:rPr>
      </w:pPr>
      <w:r>
        <w:rPr>
          <w:rFonts w:ascii="Georgia" w:hAnsi="Georgia"/>
          <w:sz w:val="22"/>
          <w:szCs w:val="22"/>
        </w:rPr>
        <w:t>(#2) 37.500 rigsdaler debiteres på varelager(råvarer) og likvider krediteres</w:t>
      </w:r>
    </w:p>
    <w:p w14:paraId="277E028C" w14:textId="49700978" w:rsidR="00167E1A" w:rsidRDefault="00505239" w:rsidP="001376D0">
      <w:pPr>
        <w:spacing w:line="360" w:lineRule="auto"/>
        <w:rPr>
          <w:rFonts w:ascii="Georgia" w:hAnsi="Georgia"/>
          <w:sz w:val="22"/>
          <w:szCs w:val="22"/>
        </w:rPr>
      </w:pPr>
      <w:r>
        <w:rPr>
          <w:rFonts w:ascii="Georgia" w:hAnsi="Georgia"/>
          <w:sz w:val="22"/>
          <w:szCs w:val="22"/>
        </w:rPr>
        <w:t>(#3) 33.500 rigsdaler krediteres varelager(råvarer) og varelager(færdige øl) debiteres</w:t>
      </w:r>
    </w:p>
    <w:p w14:paraId="6A280A65" w14:textId="6B84FFD9" w:rsidR="00505239" w:rsidRDefault="00505239" w:rsidP="001376D0">
      <w:pPr>
        <w:spacing w:line="360" w:lineRule="auto"/>
        <w:rPr>
          <w:rFonts w:ascii="Georgia" w:hAnsi="Georgia"/>
          <w:sz w:val="22"/>
          <w:szCs w:val="22"/>
        </w:rPr>
      </w:pPr>
      <w:r>
        <w:rPr>
          <w:rFonts w:ascii="Georgia" w:hAnsi="Georgia"/>
          <w:sz w:val="22"/>
          <w:szCs w:val="22"/>
        </w:rPr>
        <w:t>(#4) 102.000 rigsdaler debiteres på tilgodehavende og krediteres 102.000 på indtægter. Yderligere krediteres færdige øl med 51.000 og omkostninger debiteres med 51.000</w:t>
      </w:r>
    </w:p>
    <w:p w14:paraId="3938A8CF" w14:textId="77777777" w:rsidR="00505239" w:rsidRDefault="00505239" w:rsidP="001376D0">
      <w:pPr>
        <w:spacing w:line="360" w:lineRule="auto"/>
        <w:rPr>
          <w:rFonts w:ascii="Georgia" w:hAnsi="Georgia"/>
          <w:sz w:val="22"/>
          <w:szCs w:val="22"/>
        </w:rPr>
      </w:pPr>
      <w:r>
        <w:rPr>
          <w:rFonts w:ascii="Georgia" w:hAnsi="Georgia"/>
          <w:sz w:val="22"/>
          <w:szCs w:val="22"/>
        </w:rPr>
        <w:t>(#5) 25.000 debiteres på langfristet gæld og 1.000 på renteomkostninger og krediteres 26.000 i likvider</w:t>
      </w:r>
    </w:p>
    <w:p w14:paraId="73B95F9C" w14:textId="77777777" w:rsidR="00505239" w:rsidRDefault="00505239" w:rsidP="001376D0">
      <w:pPr>
        <w:spacing w:line="360" w:lineRule="auto"/>
        <w:rPr>
          <w:rFonts w:ascii="Georgia" w:hAnsi="Georgia"/>
          <w:sz w:val="22"/>
          <w:szCs w:val="22"/>
        </w:rPr>
      </w:pPr>
      <w:r>
        <w:rPr>
          <w:rFonts w:ascii="Georgia" w:hAnsi="Georgia"/>
          <w:sz w:val="22"/>
          <w:szCs w:val="22"/>
        </w:rPr>
        <w:t>(#6) 60.000 debiteres på maskiner og 35.000 krediteres på langfristet gæld + 25.000 kreditere på likvider</w:t>
      </w:r>
    </w:p>
    <w:p w14:paraId="4623EB52" w14:textId="77777777" w:rsidR="00505239" w:rsidRDefault="00505239" w:rsidP="001376D0">
      <w:pPr>
        <w:spacing w:line="360" w:lineRule="auto"/>
        <w:rPr>
          <w:rFonts w:ascii="Georgia" w:hAnsi="Georgia"/>
          <w:sz w:val="22"/>
          <w:szCs w:val="22"/>
        </w:rPr>
      </w:pPr>
      <w:r>
        <w:rPr>
          <w:rFonts w:ascii="Georgia" w:hAnsi="Georgia"/>
          <w:sz w:val="22"/>
          <w:szCs w:val="22"/>
        </w:rPr>
        <w:lastRenderedPageBreak/>
        <w:t>(#7) 7.000 debiteres på vedtagne udbytter og 7.000 krediteres på omkostninger</w:t>
      </w:r>
    </w:p>
    <w:p w14:paraId="346CF2E5" w14:textId="77777777" w:rsidR="00505239" w:rsidRDefault="00505239" w:rsidP="001376D0">
      <w:pPr>
        <w:spacing w:line="360" w:lineRule="auto"/>
        <w:rPr>
          <w:rFonts w:ascii="Georgia" w:hAnsi="Georgia"/>
          <w:sz w:val="22"/>
          <w:szCs w:val="22"/>
        </w:rPr>
      </w:pPr>
      <w:r>
        <w:rPr>
          <w:rFonts w:ascii="Georgia" w:hAnsi="Georgia"/>
          <w:sz w:val="22"/>
          <w:szCs w:val="22"/>
        </w:rPr>
        <w:t>(#8) 1.500 krediteres på tilgodehavende og debiteres på omkostninger</w:t>
      </w:r>
    </w:p>
    <w:p w14:paraId="0721DDD6" w14:textId="77777777" w:rsidR="00505239" w:rsidRDefault="00505239" w:rsidP="001376D0">
      <w:pPr>
        <w:spacing w:line="360" w:lineRule="auto"/>
        <w:rPr>
          <w:rFonts w:ascii="Georgia" w:hAnsi="Georgia"/>
          <w:sz w:val="22"/>
          <w:szCs w:val="22"/>
        </w:rPr>
      </w:pPr>
      <w:r>
        <w:rPr>
          <w:rFonts w:ascii="Georgia" w:hAnsi="Georgia"/>
          <w:sz w:val="22"/>
          <w:szCs w:val="22"/>
        </w:rPr>
        <w:t>(#9) 43.200 debiteres på lønomkostninger og krediteres i likvider</w:t>
      </w:r>
    </w:p>
    <w:p w14:paraId="5EF16A80" w14:textId="2AED3173" w:rsidR="00505239" w:rsidRDefault="00505239" w:rsidP="001376D0">
      <w:pPr>
        <w:spacing w:line="360" w:lineRule="auto"/>
        <w:rPr>
          <w:rFonts w:ascii="Georgia" w:hAnsi="Georgia"/>
          <w:sz w:val="22"/>
          <w:szCs w:val="22"/>
        </w:rPr>
      </w:pPr>
      <w:r>
        <w:rPr>
          <w:rFonts w:ascii="Georgia" w:hAnsi="Georgia"/>
          <w:sz w:val="22"/>
          <w:szCs w:val="22"/>
        </w:rPr>
        <w:t>(#10) 7.500 krediteres i likvider og 1.500 debiteres i goodwill samt 6.000 debiteres i maskiner</w:t>
      </w:r>
    </w:p>
    <w:p w14:paraId="688ECFE2" w14:textId="193B89A0" w:rsidR="00505239" w:rsidRDefault="00505239" w:rsidP="001376D0">
      <w:pPr>
        <w:spacing w:line="360" w:lineRule="auto"/>
        <w:rPr>
          <w:rFonts w:ascii="Georgia" w:hAnsi="Georgia"/>
          <w:sz w:val="22"/>
          <w:szCs w:val="22"/>
        </w:rPr>
      </w:pPr>
      <w:r>
        <w:rPr>
          <w:rFonts w:ascii="Georgia" w:hAnsi="Georgia"/>
          <w:sz w:val="22"/>
          <w:szCs w:val="22"/>
        </w:rPr>
        <w:t xml:space="preserve">(#11) </w:t>
      </w:r>
      <w:r w:rsidR="00BF322E">
        <w:rPr>
          <w:rFonts w:ascii="Georgia" w:hAnsi="Georgia"/>
          <w:sz w:val="22"/>
          <w:szCs w:val="22"/>
        </w:rPr>
        <w:t xml:space="preserve">1.500 debiteres på omkostninger og krediteres på likvider </w:t>
      </w:r>
    </w:p>
    <w:p w14:paraId="1C1B7F31" w14:textId="498CEF93" w:rsidR="00BF322E" w:rsidRDefault="00BF322E" w:rsidP="001376D0">
      <w:pPr>
        <w:spacing w:line="360" w:lineRule="auto"/>
        <w:rPr>
          <w:rFonts w:ascii="Georgia" w:hAnsi="Georgia"/>
          <w:sz w:val="22"/>
          <w:szCs w:val="22"/>
        </w:rPr>
      </w:pPr>
      <w:r>
        <w:rPr>
          <w:rFonts w:ascii="Georgia" w:hAnsi="Georgia"/>
          <w:sz w:val="22"/>
          <w:szCs w:val="22"/>
        </w:rPr>
        <w:t xml:space="preserve">(#12) 13.500 debiteres på likvider og krediteres på indskudt kapital </w:t>
      </w:r>
    </w:p>
    <w:p w14:paraId="3ECFC03B" w14:textId="22EDF5EB" w:rsidR="00BF322E" w:rsidRDefault="00BF322E" w:rsidP="001376D0">
      <w:pPr>
        <w:spacing w:line="360" w:lineRule="auto"/>
        <w:rPr>
          <w:rFonts w:ascii="Georgia" w:hAnsi="Georgia"/>
          <w:sz w:val="22"/>
          <w:szCs w:val="22"/>
        </w:rPr>
      </w:pPr>
      <w:r>
        <w:rPr>
          <w:rFonts w:ascii="Georgia" w:hAnsi="Georgia"/>
          <w:sz w:val="22"/>
          <w:szCs w:val="22"/>
        </w:rPr>
        <w:t>(#13) 8.000 krediteres på vedtagne udbytter og debiteres på egenkapital</w:t>
      </w:r>
    </w:p>
    <w:p w14:paraId="1E001090" w14:textId="47E31A8A" w:rsidR="008D27BF" w:rsidRDefault="008D27BF" w:rsidP="001376D0">
      <w:pPr>
        <w:spacing w:line="360" w:lineRule="auto"/>
        <w:rPr>
          <w:rFonts w:ascii="Georgia" w:hAnsi="Georgia"/>
          <w:sz w:val="22"/>
          <w:szCs w:val="22"/>
        </w:rPr>
      </w:pPr>
      <w:r>
        <w:rPr>
          <w:rFonts w:ascii="Georgia" w:hAnsi="Georgia"/>
          <w:sz w:val="22"/>
          <w:szCs w:val="22"/>
        </w:rPr>
        <w:t>Efterposteringer</w:t>
      </w:r>
    </w:p>
    <w:p w14:paraId="4B0D60C9" w14:textId="3B53D076" w:rsidR="00BF322E" w:rsidRDefault="00BF322E" w:rsidP="001376D0">
      <w:pPr>
        <w:spacing w:line="360" w:lineRule="auto"/>
        <w:rPr>
          <w:rFonts w:ascii="Georgia" w:hAnsi="Georgia"/>
          <w:sz w:val="22"/>
          <w:szCs w:val="22"/>
        </w:rPr>
      </w:pPr>
      <w:r>
        <w:rPr>
          <w:rFonts w:ascii="Georgia" w:hAnsi="Georgia"/>
          <w:sz w:val="22"/>
          <w:szCs w:val="22"/>
        </w:rPr>
        <w:t>(#14) 4.000 krediteres på bygninger og debiteres på omkostningerne. Samtidigt krediteres 9.000 på maskiner og debiteres på omkostninger</w:t>
      </w:r>
    </w:p>
    <w:p w14:paraId="04C6CC15" w14:textId="21B05722" w:rsidR="00BF322E" w:rsidRDefault="00BF322E" w:rsidP="001376D0">
      <w:pPr>
        <w:spacing w:line="360" w:lineRule="auto"/>
        <w:rPr>
          <w:rFonts w:ascii="Georgia" w:hAnsi="Georgia"/>
          <w:sz w:val="22"/>
          <w:szCs w:val="22"/>
        </w:rPr>
      </w:pPr>
      <w:r>
        <w:rPr>
          <w:rFonts w:ascii="Georgia" w:hAnsi="Georgia"/>
          <w:sz w:val="22"/>
          <w:szCs w:val="22"/>
        </w:rPr>
        <w:t>(#15) 1.500 krediteres på omkostninger og debiteres på udbytte</w:t>
      </w:r>
    </w:p>
    <w:p w14:paraId="4170ACD4" w14:textId="7BFCCFBD" w:rsidR="00BF322E" w:rsidRDefault="00BF322E" w:rsidP="001376D0">
      <w:pPr>
        <w:spacing w:line="360" w:lineRule="auto"/>
        <w:rPr>
          <w:rFonts w:ascii="Georgia" w:hAnsi="Georgia"/>
          <w:sz w:val="22"/>
          <w:szCs w:val="22"/>
        </w:rPr>
      </w:pPr>
      <w:r>
        <w:rPr>
          <w:rFonts w:ascii="Georgia" w:hAnsi="Georgia"/>
          <w:sz w:val="22"/>
          <w:szCs w:val="22"/>
        </w:rPr>
        <w:t xml:space="preserve">(#16) 15.000 debiteres på likvider og krediteres på indtægter </w:t>
      </w:r>
    </w:p>
    <w:p w14:paraId="499040C1" w14:textId="77777777" w:rsidR="007A1173" w:rsidRDefault="00BF322E" w:rsidP="001376D0">
      <w:pPr>
        <w:spacing w:line="360" w:lineRule="auto"/>
        <w:rPr>
          <w:rFonts w:ascii="Georgia" w:hAnsi="Georgia"/>
          <w:sz w:val="22"/>
          <w:szCs w:val="22"/>
        </w:rPr>
      </w:pPr>
      <w:r>
        <w:rPr>
          <w:rFonts w:ascii="Georgia" w:hAnsi="Georgia"/>
          <w:sz w:val="22"/>
          <w:szCs w:val="22"/>
        </w:rPr>
        <w:t xml:space="preserve">(#17) </w:t>
      </w:r>
      <w:r w:rsidR="008D27BF">
        <w:rPr>
          <w:rFonts w:ascii="Georgia" w:hAnsi="Georgia"/>
          <w:sz w:val="22"/>
          <w:szCs w:val="22"/>
        </w:rPr>
        <w:t>2.000 debiteres på varelager(råvarer) og krediteres på omkostninger</w:t>
      </w:r>
    </w:p>
    <w:p w14:paraId="521A66DD" w14:textId="3851348C" w:rsidR="00BF322E" w:rsidRDefault="00BF322E" w:rsidP="001376D0">
      <w:pPr>
        <w:spacing w:line="360" w:lineRule="auto"/>
        <w:rPr>
          <w:rFonts w:ascii="Georgia" w:hAnsi="Georgia"/>
          <w:sz w:val="22"/>
          <w:szCs w:val="22"/>
        </w:rPr>
      </w:pPr>
    </w:p>
    <w:p w14:paraId="1E59A691" w14:textId="360FF124" w:rsidR="007A1173" w:rsidRDefault="007A1173" w:rsidP="001376D0">
      <w:pPr>
        <w:spacing w:line="360" w:lineRule="auto"/>
        <w:rPr>
          <w:rFonts w:ascii="Georgia" w:hAnsi="Georgia"/>
          <w:sz w:val="22"/>
          <w:szCs w:val="22"/>
        </w:rPr>
      </w:pPr>
      <w:r>
        <w:rPr>
          <w:rFonts w:ascii="Georgia" w:hAnsi="Georgia"/>
          <w:noProof/>
          <w:sz w:val="22"/>
          <w:szCs w:val="22"/>
        </w:rPr>
        <w:drawing>
          <wp:anchor distT="0" distB="0" distL="114300" distR="114300" simplePos="0" relativeHeight="251658240" behindDoc="0" locked="0" layoutInCell="1" allowOverlap="1" wp14:anchorId="40A2B03A" wp14:editId="2C7F1E01">
            <wp:simplePos x="0" y="0"/>
            <wp:positionH relativeFrom="column">
              <wp:posOffset>3275965</wp:posOffset>
            </wp:positionH>
            <wp:positionV relativeFrom="paragraph">
              <wp:posOffset>232621</wp:posOffset>
            </wp:positionV>
            <wp:extent cx="1574800" cy="698500"/>
            <wp:effectExtent l="0" t="0" r="0" b="0"/>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74800" cy="698500"/>
                    </a:xfrm>
                    <a:prstGeom prst="rect">
                      <a:avLst/>
                    </a:prstGeom>
                  </pic:spPr>
                </pic:pic>
              </a:graphicData>
            </a:graphic>
            <wp14:sizeRelH relativeFrom="page">
              <wp14:pctWidth>0</wp14:pctWidth>
            </wp14:sizeRelH>
            <wp14:sizeRelV relativeFrom="page">
              <wp14:pctHeight>0</wp14:pctHeight>
            </wp14:sizeRelV>
          </wp:anchor>
        </w:drawing>
      </w:r>
      <w:r>
        <w:rPr>
          <w:rFonts w:ascii="Georgia" w:hAnsi="Georgia"/>
          <w:sz w:val="22"/>
          <w:szCs w:val="22"/>
        </w:rPr>
        <w:t xml:space="preserve">Efter disse transaktioner, ser balancen ud som følgende: </w:t>
      </w:r>
    </w:p>
    <w:p w14:paraId="12C4C810" w14:textId="0EB44D8E" w:rsidR="007A1173" w:rsidRDefault="007A1173" w:rsidP="001376D0">
      <w:pPr>
        <w:spacing w:line="360" w:lineRule="auto"/>
        <w:rPr>
          <w:rFonts w:ascii="Georgia" w:hAnsi="Georgia"/>
          <w:sz w:val="22"/>
          <w:szCs w:val="22"/>
        </w:rPr>
      </w:pPr>
      <w:r>
        <w:rPr>
          <w:rFonts w:ascii="Georgia" w:hAnsi="Georgia"/>
          <w:noProof/>
          <w:sz w:val="22"/>
          <w:szCs w:val="22"/>
        </w:rPr>
        <w:drawing>
          <wp:inline distT="0" distB="0" distL="0" distR="0" wp14:anchorId="19CBE078" wp14:editId="57304AFC">
            <wp:extent cx="2971800" cy="3141134"/>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rotWithShape="1">
                    <a:blip r:embed="rId8">
                      <a:extLst>
                        <a:ext uri="{28A0092B-C50C-407E-A947-70E740481C1C}">
                          <a14:useLocalDpi xmlns:a14="http://schemas.microsoft.com/office/drawing/2010/main" val="0"/>
                        </a:ext>
                      </a:extLst>
                    </a:blip>
                    <a:srcRect r="2905" b="19957"/>
                    <a:stretch/>
                  </pic:blipFill>
                  <pic:spPr bwMode="auto">
                    <a:xfrm>
                      <a:off x="0" y="0"/>
                      <a:ext cx="2979449" cy="3149219"/>
                    </a:xfrm>
                    <a:prstGeom prst="rect">
                      <a:avLst/>
                    </a:prstGeom>
                    <a:ln>
                      <a:noFill/>
                    </a:ln>
                    <a:extLst>
                      <a:ext uri="{53640926-AAD7-44D8-BBD7-CCE9431645EC}">
                        <a14:shadowObscured xmlns:a14="http://schemas.microsoft.com/office/drawing/2010/main"/>
                      </a:ext>
                    </a:extLst>
                  </pic:spPr>
                </pic:pic>
              </a:graphicData>
            </a:graphic>
          </wp:inline>
        </w:drawing>
      </w:r>
    </w:p>
    <w:p w14:paraId="68582A81" w14:textId="362EDA1B" w:rsidR="00505239" w:rsidRDefault="00505239" w:rsidP="001376D0">
      <w:pPr>
        <w:spacing w:line="360" w:lineRule="auto"/>
        <w:rPr>
          <w:rFonts w:ascii="Georgia" w:hAnsi="Georgia"/>
          <w:sz w:val="22"/>
          <w:szCs w:val="22"/>
        </w:rPr>
      </w:pPr>
      <w:r>
        <w:rPr>
          <w:rFonts w:ascii="Georgia" w:hAnsi="Georgia"/>
          <w:sz w:val="22"/>
          <w:szCs w:val="22"/>
        </w:rPr>
        <w:t xml:space="preserve">  </w:t>
      </w:r>
    </w:p>
    <w:p w14:paraId="7D0E0845" w14:textId="2D59925B" w:rsidR="00505239" w:rsidRDefault="00505239" w:rsidP="001376D0">
      <w:pPr>
        <w:spacing w:line="360" w:lineRule="auto"/>
        <w:rPr>
          <w:rFonts w:ascii="Georgia" w:hAnsi="Georgia"/>
          <w:sz w:val="22"/>
          <w:szCs w:val="22"/>
        </w:rPr>
      </w:pPr>
    </w:p>
    <w:p w14:paraId="6EF799E9" w14:textId="6C3F316B" w:rsidR="00505239" w:rsidRPr="00505239" w:rsidRDefault="00505239" w:rsidP="001376D0">
      <w:pPr>
        <w:spacing w:line="360" w:lineRule="auto"/>
        <w:rPr>
          <w:rFonts w:ascii="Georgia" w:hAnsi="Georgia"/>
          <w:sz w:val="22"/>
          <w:szCs w:val="22"/>
        </w:rPr>
      </w:pPr>
    </w:p>
    <w:p w14:paraId="25126EB3" w14:textId="41B040FE" w:rsidR="001376D0" w:rsidRPr="001376D0" w:rsidRDefault="001376D0" w:rsidP="001376D0"/>
    <w:p w14:paraId="52C53934" w14:textId="56BC6AA4" w:rsidR="007A1173" w:rsidRDefault="007A1173" w:rsidP="00233AA6">
      <w:pPr>
        <w:spacing w:line="360" w:lineRule="auto"/>
        <w:rPr>
          <w:rFonts w:ascii="Georgia" w:hAnsi="Georgia"/>
          <w:b/>
          <w:bCs/>
          <w:sz w:val="22"/>
          <w:szCs w:val="22"/>
        </w:rPr>
      </w:pPr>
    </w:p>
    <w:p w14:paraId="1553EDD9" w14:textId="4FD85BB9" w:rsidR="0058032B" w:rsidRDefault="0058032B" w:rsidP="00233AA6">
      <w:pPr>
        <w:spacing w:line="360" w:lineRule="auto"/>
        <w:rPr>
          <w:rFonts w:ascii="Georgia" w:hAnsi="Georgia"/>
          <w:b/>
          <w:bCs/>
          <w:sz w:val="22"/>
          <w:szCs w:val="22"/>
        </w:rPr>
      </w:pPr>
    </w:p>
    <w:p w14:paraId="3A43A365" w14:textId="4FE035B4" w:rsidR="0058032B" w:rsidRDefault="0058032B" w:rsidP="00233AA6">
      <w:pPr>
        <w:spacing w:line="360" w:lineRule="auto"/>
        <w:rPr>
          <w:rFonts w:ascii="Georgia" w:hAnsi="Georgia"/>
          <w:b/>
          <w:bCs/>
          <w:sz w:val="22"/>
          <w:szCs w:val="22"/>
        </w:rPr>
      </w:pPr>
    </w:p>
    <w:p w14:paraId="67791653" w14:textId="77777777" w:rsidR="0058032B" w:rsidRDefault="0058032B" w:rsidP="00233AA6">
      <w:pPr>
        <w:spacing w:line="360" w:lineRule="auto"/>
        <w:rPr>
          <w:rFonts w:ascii="Georgia" w:hAnsi="Georgia"/>
          <w:b/>
          <w:bCs/>
          <w:sz w:val="22"/>
          <w:szCs w:val="22"/>
        </w:rPr>
      </w:pPr>
    </w:p>
    <w:p w14:paraId="4F404E48" w14:textId="373A4DBE" w:rsidR="00233AA6" w:rsidRDefault="00233AA6" w:rsidP="00233AA6">
      <w:pPr>
        <w:spacing w:line="360" w:lineRule="auto"/>
        <w:rPr>
          <w:rFonts w:ascii="Georgia" w:hAnsi="Georgia"/>
          <w:b/>
          <w:bCs/>
          <w:sz w:val="22"/>
          <w:szCs w:val="22"/>
        </w:rPr>
      </w:pPr>
      <w:r>
        <w:rPr>
          <w:rFonts w:ascii="Georgia" w:hAnsi="Georgia"/>
          <w:b/>
          <w:bCs/>
          <w:sz w:val="22"/>
          <w:szCs w:val="22"/>
        </w:rPr>
        <w:t>Opgave 3 – Regnskabsmæssige principper</w:t>
      </w:r>
    </w:p>
    <w:p w14:paraId="71080814" w14:textId="77777777" w:rsidR="00233AA6" w:rsidRDefault="00233AA6" w:rsidP="00233AA6">
      <w:pPr>
        <w:spacing w:line="360" w:lineRule="auto"/>
        <w:rPr>
          <w:rFonts w:ascii="Georgia" w:hAnsi="Georgia"/>
          <w:sz w:val="22"/>
          <w:szCs w:val="22"/>
        </w:rPr>
      </w:pPr>
      <w:r>
        <w:rPr>
          <w:rFonts w:ascii="Georgia" w:hAnsi="Georgia"/>
          <w:b/>
          <w:bCs/>
          <w:sz w:val="22"/>
          <w:szCs w:val="22"/>
        </w:rPr>
        <w:t>3.A</w:t>
      </w:r>
    </w:p>
    <w:p w14:paraId="5C2AE4FE" w14:textId="10BB5F05" w:rsidR="00233AA6" w:rsidRDefault="00233AA6" w:rsidP="00233AA6">
      <w:pPr>
        <w:spacing w:line="360" w:lineRule="auto"/>
        <w:rPr>
          <w:rFonts w:ascii="Georgia" w:hAnsi="Georgia"/>
          <w:sz w:val="22"/>
          <w:szCs w:val="22"/>
        </w:rPr>
      </w:pPr>
      <w:r>
        <w:rPr>
          <w:rFonts w:ascii="Georgia" w:hAnsi="Georgia"/>
          <w:sz w:val="22"/>
          <w:szCs w:val="22"/>
        </w:rPr>
        <w:t xml:space="preserve">Vi mener, at der findes tre muligheder ift., hvornår Carlsberg kan indregne deres indkomst i forbindelse med den indgået salgsaftale. Den første mulighed består af at indregne indtægterne i første år, nemlig år 1958. </w:t>
      </w:r>
      <w:r w:rsidR="00816F76">
        <w:rPr>
          <w:rFonts w:ascii="Georgia" w:hAnsi="Georgia"/>
          <w:sz w:val="22"/>
          <w:szCs w:val="22"/>
        </w:rPr>
        <w:t xml:space="preserve">Dette betyder Carlsberg får et rigtig godt år i 1958 og relativ dårligere år efterfølgende. </w:t>
      </w:r>
      <w:r>
        <w:rPr>
          <w:rFonts w:ascii="Georgia" w:hAnsi="Georgia"/>
          <w:sz w:val="22"/>
          <w:szCs w:val="22"/>
        </w:rPr>
        <w:t>Indtægterne er allerede kendt, hvilket er princippet om kendte indtægter. Varen er leveret, hvilket gør denne mulighed valid. De resterende omkostninger er også kendt på nær omkostninger forbundet med defekt udstyr, hvilket kun udgør en lille del af de samlede omkostninger og må tilskrives de efterfølgende år.</w:t>
      </w:r>
    </w:p>
    <w:p w14:paraId="749FDCAE" w14:textId="77777777" w:rsidR="00233AA6" w:rsidRDefault="00233AA6" w:rsidP="00233AA6">
      <w:pPr>
        <w:spacing w:line="360" w:lineRule="auto"/>
        <w:rPr>
          <w:rFonts w:ascii="Georgia" w:hAnsi="Georgia"/>
          <w:sz w:val="22"/>
          <w:szCs w:val="22"/>
        </w:rPr>
      </w:pPr>
      <w:r>
        <w:rPr>
          <w:rFonts w:ascii="Georgia" w:hAnsi="Georgia"/>
          <w:sz w:val="22"/>
          <w:szCs w:val="22"/>
        </w:rPr>
        <w:t xml:space="preserve"> Anden mulighed er at vente med at indregne indtægterne til de 5 år er passeret. Således indregnes alle indtægter i år 1963. Denne mulighed følger princippet om kendte indtægter, da indtægterne først indregnes, når alle omkostninger er blevet afholdt. Ydermere bliver </w:t>
      </w:r>
      <w:proofErr w:type="spellStart"/>
      <w:r>
        <w:rPr>
          <w:rFonts w:ascii="Georgia" w:hAnsi="Georgia"/>
          <w:sz w:val="22"/>
          <w:szCs w:val="22"/>
        </w:rPr>
        <w:t>matchingprincippet</w:t>
      </w:r>
      <w:proofErr w:type="spellEnd"/>
      <w:r>
        <w:rPr>
          <w:rFonts w:ascii="Georgia" w:hAnsi="Georgia"/>
          <w:sz w:val="22"/>
          <w:szCs w:val="22"/>
        </w:rPr>
        <w:t xml:space="preserve"> overholdt, da indtægter og omkostninger indregnes i samme regnskabsperiode. Denne mulighed er dog ikke helt retvisende, eftersom alle Carlsbergs indtægter ikke forekommer i 1963.</w:t>
      </w:r>
    </w:p>
    <w:p w14:paraId="33E1FB71" w14:textId="0178393A" w:rsidR="00233AA6" w:rsidRDefault="00233AA6" w:rsidP="00233AA6">
      <w:pPr>
        <w:spacing w:line="360" w:lineRule="auto"/>
        <w:rPr>
          <w:rFonts w:ascii="Georgia" w:hAnsi="Georgia"/>
          <w:sz w:val="22"/>
          <w:szCs w:val="22"/>
        </w:rPr>
      </w:pPr>
      <w:r>
        <w:rPr>
          <w:rFonts w:ascii="Georgia" w:hAnsi="Georgia"/>
          <w:sz w:val="22"/>
          <w:szCs w:val="22"/>
        </w:rPr>
        <w:t>Den sidste mulighed som Carlsberg kan benytte, er at bogføre den andel af sine indtægter, som matcher den procentsats, som udgifter til produktionen af fadølsanlæg udgør af de samlede udgifter. Dette gøres ud fra den antagelse om, at man kender udgifterne til serviceeftersyn. Hermed kan Carlsberg vente med at bogføre de resterende indtægter, så disse matcher med udgifterne til serviceeftersyn.</w:t>
      </w:r>
    </w:p>
    <w:p w14:paraId="114C1F82" w14:textId="5B878C8E" w:rsidR="0080642C" w:rsidRDefault="0080642C" w:rsidP="0080642C">
      <w:pPr>
        <w:spacing w:line="360" w:lineRule="auto"/>
        <w:rPr>
          <w:rFonts w:ascii="Georgia" w:hAnsi="Georgia"/>
          <w:b/>
          <w:bCs/>
          <w:sz w:val="22"/>
          <w:szCs w:val="22"/>
        </w:rPr>
      </w:pPr>
    </w:p>
    <w:p w14:paraId="30616D6F" w14:textId="6B013277" w:rsidR="0080642C" w:rsidRDefault="0080642C" w:rsidP="0080642C">
      <w:pPr>
        <w:spacing w:line="360" w:lineRule="auto"/>
        <w:rPr>
          <w:rFonts w:ascii="Georgia" w:hAnsi="Georgia"/>
          <w:sz w:val="22"/>
          <w:szCs w:val="22"/>
        </w:rPr>
      </w:pPr>
      <w:r>
        <w:rPr>
          <w:rFonts w:ascii="Georgia" w:hAnsi="Georgia"/>
          <w:b/>
          <w:bCs/>
          <w:sz w:val="22"/>
          <w:szCs w:val="22"/>
        </w:rPr>
        <w:t>3.B</w:t>
      </w:r>
    </w:p>
    <w:p w14:paraId="3BBAE33A" w14:textId="1443BCA6" w:rsidR="0080642C" w:rsidRDefault="0080642C" w:rsidP="00233AA6">
      <w:pPr>
        <w:spacing w:line="360" w:lineRule="auto"/>
        <w:rPr>
          <w:rFonts w:ascii="Georgia" w:eastAsiaTheme="minorEastAsia" w:hAnsi="Georgia"/>
          <w:sz w:val="22"/>
          <w:szCs w:val="22"/>
        </w:rPr>
      </w:pPr>
      <w:r>
        <w:rPr>
          <w:rFonts w:ascii="Georgia" w:hAnsi="Georgia"/>
          <w:sz w:val="22"/>
          <w:szCs w:val="22"/>
        </w:rPr>
        <w:t xml:space="preserve">Værdien af land afskrives ikke, da værdien af land tages ved anskaffelsesprisen. Dette nævner Carlsberg selv i deres regnskab. Modsat afskrives bygninger lineært mellem 20-40 år afhængigt af den forventede levetid. Altså afskrives et fast beløb af bygningens værdi hvert år. </w:t>
      </w:r>
      <m:oMath>
        <m:f>
          <m:fPr>
            <m:ctrlPr>
              <w:rPr>
                <w:rFonts w:ascii="Cambria Math" w:hAnsi="Cambria Math"/>
                <w:i/>
                <w:sz w:val="22"/>
                <w:szCs w:val="22"/>
              </w:rPr>
            </m:ctrlPr>
          </m:fPr>
          <m:num>
            <m:r>
              <w:rPr>
                <w:rFonts w:ascii="Cambria Math" w:hAnsi="Cambria Math"/>
                <w:sz w:val="22"/>
                <w:szCs w:val="22"/>
              </w:rPr>
              <m:t>Anskaffelsespris</m:t>
            </m:r>
          </m:num>
          <m:den>
            <m:r>
              <w:rPr>
                <w:rFonts w:ascii="Cambria Math" w:hAnsi="Cambria Math"/>
                <w:sz w:val="22"/>
                <w:szCs w:val="22"/>
              </w:rPr>
              <m:t>antal år</m:t>
            </m:r>
          </m:den>
        </m:f>
        <m:r>
          <w:rPr>
            <w:rFonts w:ascii="Cambria Math" w:hAnsi="Cambria Math"/>
            <w:sz w:val="22"/>
            <w:szCs w:val="22"/>
          </w:rPr>
          <m:t>=</m:t>
        </m:r>
        <m:r>
          <w:rPr>
            <w:rFonts w:ascii="Cambria Math" w:eastAsiaTheme="minorEastAsia" w:hAnsi="Cambria Math"/>
            <w:sz w:val="22"/>
            <w:szCs w:val="22"/>
          </w:rPr>
          <m:t>Årlig afskrivning</m:t>
        </m:r>
      </m:oMath>
      <w:r>
        <w:rPr>
          <w:rFonts w:ascii="Georgia" w:eastAsiaTheme="minorEastAsia" w:hAnsi="Georgia"/>
          <w:sz w:val="22"/>
          <w:szCs w:val="22"/>
        </w:rPr>
        <w:t>.</w:t>
      </w:r>
    </w:p>
    <w:p w14:paraId="0471A11F" w14:textId="163ED00C" w:rsidR="0080642C" w:rsidRDefault="0080642C" w:rsidP="00233AA6">
      <w:pPr>
        <w:spacing w:line="360" w:lineRule="auto"/>
        <w:rPr>
          <w:rFonts w:ascii="Georgia" w:eastAsiaTheme="minorEastAsia" w:hAnsi="Georgia"/>
          <w:sz w:val="22"/>
          <w:szCs w:val="22"/>
        </w:rPr>
      </w:pPr>
    </w:p>
    <w:p w14:paraId="537D8294" w14:textId="77777777" w:rsidR="0080642C" w:rsidRDefault="0080642C" w:rsidP="00233AA6">
      <w:pPr>
        <w:spacing w:line="360" w:lineRule="auto"/>
        <w:rPr>
          <w:rFonts w:ascii="Georgia" w:eastAsiaTheme="minorEastAsia" w:hAnsi="Georgia"/>
          <w:sz w:val="22"/>
          <w:szCs w:val="22"/>
        </w:rPr>
      </w:pPr>
      <w:r>
        <w:rPr>
          <w:rFonts w:ascii="Georgia" w:eastAsiaTheme="minorEastAsia" w:hAnsi="Georgia"/>
          <w:sz w:val="22"/>
          <w:szCs w:val="22"/>
        </w:rPr>
        <w:t xml:space="preserve">Af denne grund opstår tyve mulige scenarier, men vi vælger at belyse tre af dem. Dette er afskrivninger på hhv. 20, 30 og 40 år. </w:t>
      </w:r>
    </w:p>
    <w:p w14:paraId="3FC7B19A" w14:textId="3E3B70D1" w:rsidR="0080642C" w:rsidRDefault="008B7F44" w:rsidP="00233AA6">
      <w:pPr>
        <w:spacing w:line="360" w:lineRule="auto"/>
        <w:rPr>
          <w:rFonts w:ascii="Georgia" w:eastAsiaTheme="minorEastAsia" w:hAnsi="Georgia"/>
          <w:sz w:val="22"/>
          <w:szCs w:val="22"/>
        </w:rPr>
      </w:pPr>
      <w:r>
        <w:rPr>
          <w:rFonts w:ascii="Georgia" w:eastAsiaTheme="minorEastAsia" w:hAnsi="Georgia"/>
          <w:sz w:val="22"/>
          <w:szCs w:val="22"/>
        </w:rPr>
        <w:t xml:space="preserve">20: </w:t>
      </w:r>
      <m:oMath>
        <m:r>
          <m:rPr>
            <m:sty m:val="p"/>
          </m:rPr>
          <w:rPr>
            <w:rFonts w:ascii="Cambria Math" w:eastAsiaTheme="minorEastAsia" w:hAnsi="Georgia"/>
            <w:sz w:val="22"/>
            <w:szCs w:val="22"/>
          </w:rPr>
          <m:t xml:space="preserve"> </m:t>
        </m:r>
        <m:f>
          <m:fPr>
            <m:ctrlPr>
              <w:rPr>
                <w:rFonts w:ascii="Cambria Math" w:eastAsiaTheme="minorEastAsia" w:hAnsi="Cambria Math"/>
                <w:i/>
                <w:sz w:val="22"/>
                <w:szCs w:val="22"/>
              </w:rPr>
            </m:ctrlPr>
          </m:fPr>
          <m:num>
            <m:r>
              <w:rPr>
                <w:rFonts w:ascii="Cambria Math" w:eastAsiaTheme="minorEastAsia" w:hAnsi="Cambria Math"/>
                <w:sz w:val="22"/>
                <w:szCs w:val="22"/>
              </w:rPr>
              <m:t>10.000.000</m:t>
            </m:r>
          </m:num>
          <m:den>
            <m:r>
              <w:rPr>
                <w:rFonts w:ascii="Cambria Math" w:eastAsiaTheme="minorEastAsia" w:hAnsi="Cambria Math"/>
                <w:sz w:val="22"/>
                <w:szCs w:val="22"/>
              </w:rPr>
              <m:t>20</m:t>
            </m:r>
          </m:den>
        </m:f>
        <m:r>
          <w:rPr>
            <w:rFonts w:ascii="Cambria Math" w:eastAsiaTheme="minorEastAsia" w:hAnsi="Cambria Math"/>
            <w:sz w:val="22"/>
            <w:szCs w:val="22"/>
          </w:rPr>
          <m:t>=500.000</m:t>
        </m:r>
      </m:oMath>
      <w:r>
        <w:rPr>
          <w:rFonts w:ascii="Georgia" w:eastAsiaTheme="minorEastAsia" w:hAnsi="Georgia"/>
          <w:sz w:val="22"/>
          <w:szCs w:val="22"/>
        </w:rPr>
        <w:t xml:space="preserve"> per år, derfor er den værdien i 2016 på ejendommen 10 millioner kroner</w:t>
      </w:r>
    </w:p>
    <w:p w14:paraId="19E734C8" w14:textId="3548A114" w:rsidR="0080642C" w:rsidRPr="0080642C" w:rsidRDefault="008B7F44" w:rsidP="00233AA6">
      <w:pPr>
        <w:spacing w:line="360" w:lineRule="auto"/>
        <w:rPr>
          <w:rFonts w:ascii="Georgia" w:eastAsiaTheme="minorEastAsia" w:hAnsi="Georgia"/>
          <w:sz w:val="22"/>
          <w:szCs w:val="22"/>
        </w:rPr>
      </w:pPr>
      <w:r>
        <w:rPr>
          <w:rFonts w:ascii="Georgia" w:eastAsiaTheme="minorEastAsia" w:hAnsi="Georgia"/>
          <w:sz w:val="22"/>
          <w:szCs w:val="22"/>
        </w:rPr>
        <w:t xml:space="preserve">30: </w:t>
      </w:r>
      <m:oMath>
        <m:f>
          <m:fPr>
            <m:ctrlPr>
              <w:rPr>
                <w:rFonts w:ascii="Cambria Math" w:eastAsiaTheme="minorEastAsia" w:hAnsi="Cambria Math"/>
                <w:i/>
                <w:sz w:val="22"/>
                <w:szCs w:val="22"/>
              </w:rPr>
            </m:ctrlPr>
          </m:fPr>
          <m:num>
            <m:r>
              <w:rPr>
                <w:rFonts w:ascii="Cambria Math" w:eastAsiaTheme="minorEastAsia" w:hAnsi="Cambria Math"/>
                <w:sz w:val="22"/>
                <w:szCs w:val="22"/>
              </w:rPr>
              <m:t>10.000.000</m:t>
            </m:r>
          </m:num>
          <m:den>
            <m:r>
              <w:rPr>
                <w:rFonts w:ascii="Cambria Math" w:eastAsiaTheme="minorEastAsia" w:hAnsi="Cambria Math"/>
                <w:sz w:val="22"/>
                <w:szCs w:val="22"/>
              </w:rPr>
              <m:t>30</m:t>
            </m:r>
          </m:den>
        </m:f>
        <m:r>
          <w:rPr>
            <w:rFonts w:ascii="Cambria Math" w:eastAsiaTheme="minorEastAsia" w:hAnsi="Cambria Math"/>
            <w:sz w:val="22"/>
            <w:szCs w:val="22"/>
          </w:rPr>
          <m:t>≈333.333,3</m:t>
        </m:r>
      </m:oMath>
      <w:r>
        <w:rPr>
          <w:rFonts w:ascii="Georgia" w:eastAsiaTheme="minorEastAsia" w:hAnsi="Georgia"/>
          <w:sz w:val="22"/>
          <w:szCs w:val="22"/>
        </w:rPr>
        <w:t xml:space="preserve"> per år, derfor er værdien i 2016 på ejendommen på 10 millioner kroner</w:t>
      </w:r>
    </w:p>
    <w:p w14:paraId="2507CEBD" w14:textId="4DD3ECA8" w:rsidR="0080642C" w:rsidRPr="0080642C" w:rsidRDefault="008B7F44" w:rsidP="00233AA6">
      <w:pPr>
        <w:spacing w:line="360" w:lineRule="auto"/>
        <w:rPr>
          <w:rFonts w:ascii="Georgia" w:eastAsiaTheme="minorEastAsia" w:hAnsi="Georgia"/>
          <w:sz w:val="22"/>
          <w:szCs w:val="22"/>
        </w:rPr>
      </w:pPr>
      <w:r>
        <w:rPr>
          <w:rFonts w:ascii="Georgia" w:eastAsiaTheme="minorEastAsia" w:hAnsi="Georgia"/>
          <w:sz w:val="22"/>
          <w:szCs w:val="22"/>
        </w:rPr>
        <w:t xml:space="preserve">40: </w:t>
      </w:r>
      <m:oMath>
        <m:f>
          <m:fPr>
            <m:ctrlPr>
              <w:rPr>
                <w:rFonts w:ascii="Cambria Math" w:eastAsiaTheme="minorEastAsia" w:hAnsi="Cambria Math"/>
                <w:i/>
                <w:sz w:val="22"/>
                <w:szCs w:val="22"/>
              </w:rPr>
            </m:ctrlPr>
          </m:fPr>
          <m:num>
            <m:r>
              <w:rPr>
                <w:rFonts w:ascii="Cambria Math" w:eastAsiaTheme="minorEastAsia" w:hAnsi="Cambria Math"/>
                <w:sz w:val="22"/>
                <w:szCs w:val="22"/>
              </w:rPr>
              <m:t>10.000.000</m:t>
            </m:r>
          </m:num>
          <m:den>
            <m:r>
              <w:rPr>
                <w:rFonts w:ascii="Cambria Math" w:eastAsiaTheme="minorEastAsia" w:hAnsi="Cambria Math"/>
                <w:sz w:val="22"/>
                <w:szCs w:val="22"/>
              </w:rPr>
              <m:t>40</m:t>
            </m:r>
          </m:den>
        </m:f>
        <m:r>
          <w:rPr>
            <w:rFonts w:ascii="Cambria Math" w:eastAsiaTheme="minorEastAsia" w:hAnsi="Cambria Math"/>
            <w:sz w:val="22"/>
            <w:szCs w:val="22"/>
          </w:rPr>
          <m:t>=250.000</m:t>
        </m:r>
      </m:oMath>
      <w:r>
        <w:rPr>
          <w:rFonts w:ascii="Georgia" w:eastAsiaTheme="minorEastAsia" w:hAnsi="Georgia"/>
          <w:sz w:val="22"/>
          <w:szCs w:val="22"/>
        </w:rPr>
        <w:t xml:space="preserve"> per år, derfor er værdien i 2016 på ejendommen 12,5 millioner kroner. </w:t>
      </w:r>
    </w:p>
    <w:p w14:paraId="22B6635E" w14:textId="03ABD140" w:rsidR="008B7F44" w:rsidRDefault="008B7F44" w:rsidP="008B7F44">
      <w:pPr>
        <w:spacing w:line="360" w:lineRule="auto"/>
        <w:rPr>
          <w:rFonts w:ascii="Georgia" w:eastAsiaTheme="minorEastAsia" w:hAnsi="Georgia"/>
          <w:sz w:val="22"/>
          <w:szCs w:val="22"/>
        </w:rPr>
      </w:pPr>
      <w:r>
        <w:rPr>
          <w:rFonts w:ascii="Georgia" w:eastAsiaTheme="minorEastAsia" w:hAnsi="Georgia"/>
          <w:sz w:val="22"/>
          <w:szCs w:val="22"/>
        </w:rPr>
        <w:lastRenderedPageBreak/>
        <w:t xml:space="preserve">Ved 40 årige afskrivninger beregnes dette således: </w:t>
      </w:r>
      <m:oMath>
        <m:f>
          <m:fPr>
            <m:ctrlPr>
              <w:rPr>
                <w:rFonts w:ascii="Cambria Math" w:eastAsiaTheme="minorEastAsia" w:hAnsi="Cambria Math"/>
                <w:i/>
                <w:sz w:val="22"/>
                <w:szCs w:val="22"/>
              </w:rPr>
            </m:ctrlPr>
          </m:fPr>
          <m:num>
            <m:r>
              <w:rPr>
                <w:rFonts w:ascii="Cambria Math" w:eastAsiaTheme="minorEastAsia" w:hAnsi="Cambria Math"/>
                <w:sz w:val="22"/>
                <w:szCs w:val="22"/>
              </w:rPr>
              <m:t>10.000.000</m:t>
            </m:r>
          </m:num>
          <m:den>
            <m:r>
              <w:rPr>
                <w:rFonts w:ascii="Cambria Math" w:eastAsiaTheme="minorEastAsia" w:hAnsi="Cambria Math"/>
                <w:sz w:val="22"/>
                <w:szCs w:val="22"/>
              </w:rPr>
              <m:t>40</m:t>
            </m:r>
          </m:den>
        </m:f>
        <m:r>
          <w:rPr>
            <w:rFonts w:ascii="Cambria Math" w:eastAsiaTheme="minorEastAsia" w:hAnsi="Cambria Math"/>
            <w:sz w:val="22"/>
            <w:szCs w:val="22"/>
          </w:rPr>
          <m:t>=250.000</m:t>
        </m:r>
      </m:oMath>
      <w:r>
        <w:rPr>
          <w:rFonts w:ascii="Georgia" w:eastAsiaTheme="minorEastAsia" w:hAnsi="Georgia"/>
          <w:sz w:val="22"/>
          <w:szCs w:val="22"/>
        </w:rPr>
        <w:t xml:space="preserve">. Perioden løber over tredive år, derfor er den akkumulerede afskrivning lig årlig afskrivning gange det nuværende tidsforløb. Herved fås den samlede ejendomsværdi i 2016:  </w:t>
      </w:r>
    </w:p>
    <w:p w14:paraId="718725AA" w14:textId="5E19527E" w:rsidR="008B7F44" w:rsidRDefault="00C35A00" w:rsidP="008B7F44">
      <w:pPr>
        <w:spacing w:line="360" w:lineRule="auto"/>
        <w:rPr>
          <w:rFonts w:ascii="Georgia" w:eastAsiaTheme="minorEastAsia" w:hAnsi="Georgia"/>
          <w:sz w:val="22"/>
          <w:szCs w:val="22"/>
        </w:rPr>
      </w:pPr>
      <m:oMathPara>
        <m:oMath>
          <m:r>
            <w:rPr>
              <w:rFonts w:ascii="Cambria Math" w:eastAsiaTheme="minorEastAsia" w:hAnsi="Cambria Math"/>
              <w:sz w:val="22"/>
              <w:szCs w:val="22"/>
            </w:rPr>
            <m:t>Ejendomsværdi=Lan</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anskaffelsespris</m:t>
              </m:r>
            </m:sub>
          </m:sSub>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Bygnin</m:t>
              </m:r>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anskaffelsespris</m:t>
                  </m:r>
                </m:sub>
              </m:sSub>
              <m:r>
                <w:rPr>
                  <w:rFonts w:ascii="Cambria Math" w:eastAsiaTheme="minorEastAsia" w:hAnsi="Cambria Math"/>
                  <w:sz w:val="22"/>
                  <w:szCs w:val="22"/>
                </w:rPr>
                <m:t>-årlig afskrivning·periode</m:t>
              </m:r>
            </m:e>
          </m:d>
        </m:oMath>
      </m:oMathPara>
    </w:p>
    <w:p w14:paraId="02C00F2A" w14:textId="372E6729" w:rsidR="0080642C" w:rsidRPr="008B7F44" w:rsidRDefault="00C35A00" w:rsidP="008B7F44">
      <w:pPr>
        <w:spacing w:line="360" w:lineRule="auto"/>
        <w:rPr>
          <w:rFonts w:ascii="Georgia" w:eastAsiaTheme="minorEastAsia" w:hAnsi="Georgia"/>
          <w:sz w:val="22"/>
          <w:szCs w:val="22"/>
        </w:rPr>
      </w:pPr>
      <m:oMathPara>
        <m:oMath>
          <m:r>
            <w:rPr>
              <w:rFonts w:ascii="Cambria Math" w:eastAsiaTheme="minorEastAsia" w:hAnsi="Cambria Math"/>
              <w:sz w:val="22"/>
              <w:szCs w:val="22"/>
            </w:rPr>
            <m:t>Værdi i 2016=10.000.000+</m:t>
          </m:r>
          <m:d>
            <m:dPr>
              <m:ctrlPr>
                <w:rPr>
                  <w:rFonts w:ascii="Cambria Math" w:eastAsiaTheme="minorEastAsia" w:hAnsi="Cambria Math"/>
                  <w:i/>
                  <w:sz w:val="22"/>
                  <w:szCs w:val="22"/>
                </w:rPr>
              </m:ctrlPr>
            </m:dPr>
            <m:e>
              <m:r>
                <w:rPr>
                  <w:rFonts w:ascii="Cambria Math" w:eastAsiaTheme="minorEastAsia" w:hAnsi="Cambria Math"/>
                  <w:sz w:val="22"/>
                  <w:szCs w:val="22"/>
                </w:rPr>
                <m:t>10.000.000-250.000·30</m:t>
              </m:r>
            </m:e>
          </m:d>
          <m:r>
            <w:rPr>
              <w:rFonts w:ascii="Cambria Math" w:eastAsiaTheme="minorEastAsia" w:hAnsi="Cambria Math"/>
              <w:sz w:val="22"/>
              <w:szCs w:val="22"/>
            </w:rPr>
            <m:t>=1,25·</m:t>
          </m:r>
          <m:sSup>
            <m:sSupPr>
              <m:ctrlPr>
                <w:rPr>
                  <w:rFonts w:ascii="Cambria Math" w:eastAsiaTheme="minorEastAsia" w:hAnsi="Cambria Math"/>
                  <w:i/>
                  <w:sz w:val="22"/>
                  <w:szCs w:val="22"/>
                </w:rPr>
              </m:ctrlPr>
            </m:sSupPr>
            <m:e>
              <m:r>
                <w:rPr>
                  <w:rFonts w:ascii="Cambria Math" w:eastAsiaTheme="minorEastAsia" w:hAnsi="Cambria Math"/>
                  <w:sz w:val="22"/>
                  <w:szCs w:val="22"/>
                </w:rPr>
                <m:t>10</m:t>
              </m:r>
            </m:e>
            <m:sup>
              <m:r>
                <w:rPr>
                  <w:rFonts w:ascii="Cambria Math" w:eastAsiaTheme="minorEastAsia" w:hAnsi="Cambria Math"/>
                  <w:sz w:val="22"/>
                  <w:szCs w:val="22"/>
                </w:rPr>
                <m:t>7</m:t>
              </m:r>
            </m:sup>
          </m:sSup>
          <m:r>
            <w:rPr>
              <w:rFonts w:ascii="Cambria Math" w:eastAsiaTheme="minorEastAsia" w:hAnsi="Cambria Math"/>
              <w:sz w:val="22"/>
              <w:szCs w:val="22"/>
            </w:rPr>
            <m:t>=12.500.000</m:t>
          </m:r>
        </m:oMath>
      </m:oMathPara>
    </w:p>
    <w:p w14:paraId="4621AF8F" w14:textId="1558D1CD" w:rsidR="008B7F44" w:rsidRDefault="008B7F44" w:rsidP="008B7F44">
      <w:pPr>
        <w:spacing w:line="360" w:lineRule="auto"/>
        <w:rPr>
          <w:rFonts w:ascii="Georgia" w:eastAsiaTheme="minorEastAsia" w:hAnsi="Georgia"/>
          <w:sz w:val="22"/>
          <w:szCs w:val="22"/>
        </w:rPr>
      </w:pPr>
    </w:p>
    <w:p w14:paraId="3D047DFF" w14:textId="38735F86" w:rsidR="001553AD" w:rsidRPr="001553AD" w:rsidRDefault="008B7F44" w:rsidP="008B7F44">
      <w:pPr>
        <w:spacing w:line="360" w:lineRule="auto"/>
        <w:rPr>
          <w:rFonts w:ascii="Georgia" w:hAnsi="Georgia"/>
          <w:b/>
          <w:bCs/>
          <w:sz w:val="22"/>
          <w:szCs w:val="22"/>
        </w:rPr>
      </w:pPr>
      <w:r>
        <w:rPr>
          <w:rFonts w:ascii="Georgia" w:hAnsi="Georgia"/>
          <w:b/>
          <w:bCs/>
          <w:sz w:val="22"/>
          <w:szCs w:val="22"/>
        </w:rPr>
        <w:t>3.C</w:t>
      </w:r>
    </w:p>
    <w:p w14:paraId="468D9323" w14:textId="7AFCA561" w:rsidR="0058032B" w:rsidRDefault="0058032B" w:rsidP="008B7F44">
      <w:pPr>
        <w:spacing w:line="360" w:lineRule="auto"/>
        <w:rPr>
          <w:rFonts w:ascii="Georgia" w:hAnsi="Georgia"/>
          <w:sz w:val="22"/>
          <w:szCs w:val="22"/>
        </w:rPr>
      </w:pPr>
      <w:r>
        <w:rPr>
          <w:rFonts w:ascii="Georgia" w:hAnsi="Georgia"/>
          <w:sz w:val="22"/>
          <w:szCs w:val="22"/>
        </w:rPr>
        <w:t xml:space="preserve">Det udleverede regnskab er et samlet konsolideret for hele Carlsberg koncernen. Dette ses, da et konsolideret regnskab opgøres for Carlsberg A/S. </w:t>
      </w:r>
    </w:p>
    <w:p w14:paraId="4961823C" w14:textId="6926E6C9" w:rsidR="0058032B" w:rsidRDefault="0058032B" w:rsidP="008B7F44">
      <w:pPr>
        <w:spacing w:line="360" w:lineRule="auto"/>
        <w:rPr>
          <w:rFonts w:ascii="Georgia" w:hAnsi="Georgia"/>
          <w:sz w:val="22"/>
          <w:szCs w:val="22"/>
        </w:rPr>
      </w:pPr>
    </w:p>
    <w:p w14:paraId="14708A88" w14:textId="1FABBAA9" w:rsidR="0058032B" w:rsidRDefault="0058032B" w:rsidP="008B7F44">
      <w:pPr>
        <w:spacing w:line="360" w:lineRule="auto"/>
        <w:rPr>
          <w:rFonts w:ascii="Georgia" w:hAnsi="Georgia"/>
          <w:sz w:val="22"/>
          <w:szCs w:val="22"/>
        </w:rPr>
      </w:pPr>
      <w:r>
        <w:rPr>
          <w:rFonts w:ascii="Georgia" w:hAnsi="Georgia"/>
          <w:sz w:val="22"/>
          <w:szCs w:val="22"/>
        </w:rPr>
        <w:t>Selv definerer Carlsberg</w:t>
      </w:r>
      <w:r w:rsidR="001553AD">
        <w:rPr>
          <w:rFonts w:ascii="Georgia" w:hAnsi="Georgia"/>
          <w:sz w:val="22"/>
          <w:szCs w:val="22"/>
        </w:rPr>
        <w:t xml:space="preserve"> A/S</w:t>
      </w:r>
      <w:r>
        <w:rPr>
          <w:rFonts w:ascii="Georgia" w:hAnsi="Georgia"/>
          <w:sz w:val="22"/>
          <w:szCs w:val="22"/>
        </w:rPr>
        <w:t xml:space="preserve"> </w:t>
      </w:r>
      <w:r w:rsidR="001553AD">
        <w:rPr>
          <w:rFonts w:ascii="Georgia" w:hAnsi="Georgia"/>
          <w:sz w:val="22"/>
          <w:szCs w:val="22"/>
        </w:rPr>
        <w:t xml:space="preserve">deres datterselskaber, som selskaber Carlsberg A/S; </w:t>
      </w:r>
    </w:p>
    <w:p w14:paraId="74ED9DF2" w14:textId="5BB3B41F" w:rsidR="001553AD" w:rsidRDefault="001553AD" w:rsidP="001553AD">
      <w:pPr>
        <w:pStyle w:val="ListParagraph"/>
        <w:numPr>
          <w:ilvl w:val="0"/>
          <w:numId w:val="2"/>
        </w:numPr>
        <w:spacing w:line="360" w:lineRule="auto"/>
        <w:rPr>
          <w:rFonts w:ascii="Georgia" w:hAnsi="Georgia"/>
          <w:sz w:val="22"/>
          <w:szCs w:val="22"/>
        </w:rPr>
      </w:pPr>
      <w:r>
        <w:rPr>
          <w:rFonts w:ascii="Georgia" w:hAnsi="Georgia"/>
          <w:sz w:val="22"/>
          <w:szCs w:val="22"/>
        </w:rPr>
        <w:t>har kontrol eller kan påvirke beslutninger i</w:t>
      </w:r>
    </w:p>
    <w:p w14:paraId="7F04B83D" w14:textId="59C04B63" w:rsidR="001553AD" w:rsidRDefault="001553AD" w:rsidP="001553AD">
      <w:pPr>
        <w:pStyle w:val="ListParagraph"/>
        <w:numPr>
          <w:ilvl w:val="0"/>
          <w:numId w:val="2"/>
        </w:numPr>
        <w:spacing w:line="360" w:lineRule="auto"/>
        <w:rPr>
          <w:rFonts w:ascii="Georgia" w:hAnsi="Georgia"/>
          <w:sz w:val="22"/>
          <w:szCs w:val="22"/>
        </w:rPr>
      </w:pPr>
      <w:r>
        <w:rPr>
          <w:rFonts w:ascii="Georgia" w:hAnsi="Georgia"/>
          <w:sz w:val="22"/>
          <w:szCs w:val="22"/>
        </w:rPr>
        <w:t>har ret til en del af overskuddet</w:t>
      </w:r>
    </w:p>
    <w:p w14:paraId="41190A14" w14:textId="06EBE25B" w:rsidR="001553AD" w:rsidRDefault="001553AD" w:rsidP="001553AD">
      <w:pPr>
        <w:pStyle w:val="ListParagraph"/>
        <w:numPr>
          <w:ilvl w:val="0"/>
          <w:numId w:val="2"/>
        </w:numPr>
        <w:spacing w:line="360" w:lineRule="auto"/>
        <w:rPr>
          <w:rFonts w:ascii="Georgia" w:hAnsi="Georgia"/>
          <w:sz w:val="22"/>
          <w:szCs w:val="22"/>
        </w:rPr>
      </w:pPr>
      <w:r>
        <w:rPr>
          <w:rFonts w:ascii="Georgia" w:hAnsi="Georgia"/>
          <w:sz w:val="22"/>
          <w:szCs w:val="22"/>
        </w:rPr>
        <w:t>har ret til at påvirke deres resultat</w:t>
      </w:r>
    </w:p>
    <w:p w14:paraId="22577196" w14:textId="2C657EC7" w:rsidR="00027107" w:rsidRPr="00027107" w:rsidRDefault="00027107" w:rsidP="00027107">
      <w:pPr>
        <w:spacing w:line="360" w:lineRule="auto"/>
        <w:rPr>
          <w:rFonts w:ascii="Georgia" w:hAnsi="Georgia"/>
          <w:sz w:val="22"/>
          <w:szCs w:val="22"/>
        </w:rPr>
      </w:pPr>
      <w:r>
        <w:rPr>
          <w:rFonts w:ascii="Georgia" w:hAnsi="Georgia"/>
          <w:sz w:val="22"/>
          <w:szCs w:val="22"/>
        </w:rPr>
        <w:t>Fx opgøres passiv og aktiv siden på det konsolidere</w:t>
      </w:r>
      <w:r w:rsidR="00B13A6A">
        <w:rPr>
          <w:rFonts w:ascii="Georgia" w:hAnsi="Georgia"/>
          <w:sz w:val="22"/>
          <w:szCs w:val="22"/>
        </w:rPr>
        <w:t>de</w:t>
      </w:r>
      <w:r>
        <w:rPr>
          <w:rFonts w:ascii="Georgia" w:hAnsi="Georgia"/>
          <w:sz w:val="22"/>
          <w:szCs w:val="22"/>
        </w:rPr>
        <w:t xml:space="preserve"> regnskab også for virksomheder, Carlsberg A/S har en 100% ejerandel over. Derfor indgår det ikke, når de ikke har en ejerandel mellem 51-100% </w:t>
      </w:r>
    </w:p>
    <w:p w14:paraId="00FAD77C" w14:textId="535D3A8F" w:rsidR="003A4A7C" w:rsidRPr="001553AD" w:rsidRDefault="003A4A7C" w:rsidP="008B7F44">
      <w:pPr>
        <w:spacing w:line="360" w:lineRule="auto"/>
        <w:rPr>
          <w:rFonts w:ascii="Georgia" w:hAnsi="Georgia"/>
          <w:b/>
          <w:bCs/>
          <w:sz w:val="22"/>
          <w:szCs w:val="22"/>
        </w:rPr>
      </w:pPr>
    </w:p>
    <w:p w14:paraId="1E96B35A" w14:textId="4E1FC6F6" w:rsidR="001553AD" w:rsidRDefault="001553AD" w:rsidP="008B7F44">
      <w:pPr>
        <w:spacing w:line="360" w:lineRule="auto"/>
        <w:rPr>
          <w:rFonts w:ascii="Georgia" w:hAnsi="Georgia"/>
          <w:sz w:val="22"/>
          <w:szCs w:val="22"/>
        </w:rPr>
      </w:pPr>
      <w:r>
        <w:rPr>
          <w:rFonts w:ascii="Georgia" w:hAnsi="Georgia"/>
          <w:sz w:val="22"/>
          <w:szCs w:val="22"/>
        </w:rPr>
        <w:t xml:space="preserve">Selskaber, som Carlsberg A/S har indflydelse på, men ikke har kontrollerende magt, kalder Carlsberg A/S </w:t>
      </w:r>
      <w:proofErr w:type="spellStart"/>
      <w:r>
        <w:rPr>
          <w:rFonts w:ascii="Georgia" w:hAnsi="Georgia"/>
          <w:sz w:val="22"/>
          <w:szCs w:val="22"/>
        </w:rPr>
        <w:t>associates</w:t>
      </w:r>
      <w:proofErr w:type="spellEnd"/>
      <w:r>
        <w:rPr>
          <w:rFonts w:ascii="Georgia" w:hAnsi="Georgia"/>
          <w:sz w:val="22"/>
          <w:szCs w:val="22"/>
        </w:rPr>
        <w:t xml:space="preserve">. Ifølge Carlsberg A/S, opnår de </w:t>
      </w:r>
      <w:proofErr w:type="spellStart"/>
      <w:r>
        <w:rPr>
          <w:rFonts w:ascii="Georgia" w:hAnsi="Georgia"/>
          <w:sz w:val="22"/>
          <w:szCs w:val="22"/>
        </w:rPr>
        <w:t>associates</w:t>
      </w:r>
      <w:proofErr w:type="spellEnd"/>
      <w:r>
        <w:rPr>
          <w:rFonts w:ascii="Georgia" w:hAnsi="Georgia"/>
          <w:sz w:val="22"/>
          <w:szCs w:val="22"/>
        </w:rPr>
        <w:t xml:space="preserve"> status, når de ejer mellem 20-50% af selskabet. Dette opgøres i slutningen af hvert regnskabsår, og fremgår i Carlsbergs konsolideret regnskab. </w:t>
      </w:r>
    </w:p>
    <w:p w14:paraId="3420BA90" w14:textId="66A1EF11" w:rsidR="001553AD" w:rsidRDefault="001553AD" w:rsidP="008B7F44">
      <w:pPr>
        <w:spacing w:line="360" w:lineRule="auto"/>
        <w:rPr>
          <w:rFonts w:ascii="Georgia" w:hAnsi="Georgia"/>
          <w:sz w:val="22"/>
          <w:szCs w:val="22"/>
        </w:rPr>
      </w:pPr>
    </w:p>
    <w:p w14:paraId="6D5D4753" w14:textId="5294E405" w:rsidR="001553AD" w:rsidRDefault="001553AD" w:rsidP="008B7F44">
      <w:pPr>
        <w:spacing w:line="360" w:lineRule="auto"/>
        <w:rPr>
          <w:rFonts w:ascii="Georgia" w:hAnsi="Georgia"/>
          <w:sz w:val="22"/>
          <w:szCs w:val="22"/>
        </w:rPr>
      </w:pPr>
      <w:r>
        <w:rPr>
          <w:rFonts w:ascii="Georgia" w:hAnsi="Georgia"/>
          <w:sz w:val="22"/>
          <w:szCs w:val="22"/>
        </w:rPr>
        <w:t xml:space="preserve">Ydermere </w:t>
      </w:r>
      <w:r w:rsidR="00027107">
        <w:rPr>
          <w:rFonts w:ascii="Georgia" w:hAnsi="Georgia"/>
          <w:sz w:val="22"/>
          <w:szCs w:val="22"/>
        </w:rPr>
        <w:t xml:space="preserve">indgår Carlsberg A/S joint ventures med andre virksomheder. Disse opgøres også til sidst i regnskabsåret. Både joint ventures og </w:t>
      </w:r>
      <w:proofErr w:type="spellStart"/>
      <w:r w:rsidR="00027107">
        <w:rPr>
          <w:rFonts w:ascii="Georgia" w:hAnsi="Georgia"/>
          <w:sz w:val="22"/>
          <w:szCs w:val="22"/>
        </w:rPr>
        <w:t>associates</w:t>
      </w:r>
      <w:proofErr w:type="spellEnd"/>
      <w:r w:rsidR="00027107">
        <w:rPr>
          <w:rFonts w:ascii="Georgia" w:hAnsi="Georgia"/>
          <w:sz w:val="22"/>
          <w:szCs w:val="22"/>
        </w:rPr>
        <w:t xml:space="preserve"> konsolideres i slutningen af regnskabsperioden vha. egenkapitalmetoden. Fx bruges egenkapitalmetoden til opgørelse af virksomheder, Carlsberg A/S har en 25% ejerandel i. </w:t>
      </w:r>
    </w:p>
    <w:p w14:paraId="2015FF32" w14:textId="77777777" w:rsidR="00027107" w:rsidRDefault="00027107" w:rsidP="008B7F44">
      <w:pPr>
        <w:spacing w:line="360" w:lineRule="auto"/>
        <w:rPr>
          <w:rFonts w:ascii="Georgia" w:hAnsi="Georgia"/>
          <w:sz w:val="22"/>
          <w:szCs w:val="22"/>
        </w:rPr>
      </w:pPr>
    </w:p>
    <w:p w14:paraId="78FE5BCC" w14:textId="48B2B7FF" w:rsidR="003A4A7C" w:rsidRDefault="003A4A7C" w:rsidP="008B7F44">
      <w:pPr>
        <w:spacing w:line="360" w:lineRule="auto"/>
        <w:rPr>
          <w:rFonts w:ascii="Georgia" w:hAnsi="Georgia"/>
          <w:b/>
          <w:bCs/>
          <w:sz w:val="22"/>
          <w:szCs w:val="22"/>
        </w:rPr>
      </w:pPr>
      <w:r>
        <w:rPr>
          <w:rFonts w:ascii="Georgia" w:hAnsi="Georgia"/>
          <w:b/>
          <w:bCs/>
          <w:sz w:val="22"/>
          <w:szCs w:val="22"/>
        </w:rPr>
        <w:t>3.D</w:t>
      </w:r>
    </w:p>
    <w:p w14:paraId="0B497B38" w14:textId="3120E60B" w:rsidR="003A4A7C" w:rsidRDefault="003A4A7C" w:rsidP="008B7F44">
      <w:pPr>
        <w:spacing w:line="360" w:lineRule="auto"/>
        <w:rPr>
          <w:rFonts w:ascii="Georgia" w:hAnsi="Georgia"/>
          <w:sz w:val="22"/>
          <w:szCs w:val="22"/>
        </w:rPr>
      </w:pPr>
      <w:r>
        <w:rPr>
          <w:rFonts w:ascii="Georgia" w:hAnsi="Georgia"/>
          <w:sz w:val="22"/>
          <w:szCs w:val="22"/>
        </w:rPr>
        <w:t>En direkte pengestrømsopgørelse opgøres at direkte transaktioner ud og ind af likvidbeholdningen. Modsat tager den indirekte metode højde for underliggende komponenter som ændringer i varelagre, overskud før afskrivninger etc. Ud fra dette kan det udledes, Carlsberg benytter sig af en direkte form for Cash Flow Statements.</w:t>
      </w:r>
    </w:p>
    <w:p w14:paraId="395F2CA3" w14:textId="1E951CA6" w:rsidR="007C3968" w:rsidRDefault="003A4A7C" w:rsidP="00233AA6">
      <w:pPr>
        <w:spacing w:line="360" w:lineRule="auto"/>
        <w:rPr>
          <w:rFonts w:ascii="Georgia" w:hAnsi="Georgia"/>
          <w:sz w:val="22"/>
          <w:szCs w:val="22"/>
        </w:rPr>
      </w:pPr>
      <w:r>
        <w:rPr>
          <w:rFonts w:ascii="Georgia" w:hAnsi="Georgia"/>
          <w:sz w:val="22"/>
          <w:szCs w:val="22"/>
        </w:rPr>
        <w:t xml:space="preserve">     Ydermere </w:t>
      </w:r>
      <w:r w:rsidR="00914584">
        <w:rPr>
          <w:rFonts w:ascii="Georgia" w:hAnsi="Georgia"/>
          <w:sz w:val="22"/>
          <w:szCs w:val="22"/>
        </w:rPr>
        <w:t xml:space="preserve">kan man i pengestrømsopgørelsen finde flowet fra hhv. driften, investering og finansiering. Driften er på 9.329 millioner kroner, investeringen er på 2840 millioner kroner, og </w:t>
      </w:r>
      <w:r w:rsidR="00914584">
        <w:rPr>
          <w:rFonts w:ascii="Georgia" w:hAnsi="Georgia"/>
          <w:sz w:val="22"/>
          <w:szCs w:val="22"/>
        </w:rPr>
        <w:lastRenderedPageBreak/>
        <w:t xml:space="preserve">finansieringen -9.205 millioner. Af dette bliver der betalt 6.752 millioner kroner af på deres eksterne lån. </w:t>
      </w:r>
    </w:p>
    <w:p w14:paraId="5978D150" w14:textId="0B02CF12" w:rsidR="00477E28" w:rsidRDefault="00477E28" w:rsidP="00233AA6">
      <w:pPr>
        <w:spacing w:line="360" w:lineRule="auto"/>
        <w:rPr>
          <w:rFonts w:ascii="Georgia" w:hAnsi="Georgia"/>
          <w:sz w:val="22"/>
          <w:szCs w:val="22"/>
        </w:rPr>
      </w:pPr>
    </w:p>
    <w:p w14:paraId="05CE9353" w14:textId="60F689F4" w:rsidR="00477E28" w:rsidRDefault="00477E28" w:rsidP="00233AA6">
      <w:pPr>
        <w:spacing w:line="360" w:lineRule="auto"/>
        <w:rPr>
          <w:rFonts w:ascii="Georgia" w:hAnsi="Georgia"/>
          <w:sz w:val="22"/>
          <w:szCs w:val="22"/>
        </w:rPr>
      </w:pPr>
    </w:p>
    <w:p w14:paraId="6D173552" w14:textId="2E658945" w:rsidR="00477E28" w:rsidRDefault="00477E28" w:rsidP="00233AA6">
      <w:pPr>
        <w:spacing w:line="360" w:lineRule="auto"/>
        <w:rPr>
          <w:rFonts w:ascii="Georgia" w:hAnsi="Georgia"/>
          <w:sz w:val="22"/>
          <w:szCs w:val="22"/>
        </w:rPr>
      </w:pPr>
    </w:p>
    <w:p w14:paraId="084FE6EC" w14:textId="7C5AB0D1" w:rsidR="00477E28" w:rsidRDefault="00477E28" w:rsidP="00233AA6">
      <w:pPr>
        <w:spacing w:line="360" w:lineRule="auto"/>
        <w:rPr>
          <w:rFonts w:ascii="Georgia" w:hAnsi="Georgia"/>
          <w:sz w:val="22"/>
          <w:szCs w:val="22"/>
        </w:rPr>
      </w:pPr>
    </w:p>
    <w:p w14:paraId="3E3E2DE6" w14:textId="7273A0A6" w:rsidR="00477E28" w:rsidRDefault="00477E28" w:rsidP="00233AA6">
      <w:pPr>
        <w:spacing w:line="360" w:lineRule="auto"/>
        <w:rPr>
          <w:rFonts w:ascii="Georgia" w:hAnsi="Georgia"/>
          <w:sz w:val="22"/>
          <w:szCs w:val="22"/>
        </w:rPr>
      </w:pPr>
    </w:p>
    <w:p w14:paraId="58E7072D" w14:textId="320B2164" w:rsidR="00477E28" w:rsidRDefault="00477E28" w:rsidP="00233AA6">
      <w:pPr>
        <w:spacing w:line="360" w:lineRule="auto"/>
        <w:rPr>
          <w:rFonts w:ascii="Georgia" w:hAnsi="Georgia"/>
          <w:sz w:val="22"/>
          <w:szCs w:val="22"/>
        </w:rPr>
      </w:pPr>
    </w:p>
    <w:p w14:paraId="700CBD36" w14:textId="754AE6BE" w:rsidR="00477E28" w:rsidRPr="00233AA6" w:rsidRDefault="00477E28" w:rsidP="00233AA6">
      <w:pPr>
        <w:spacing w:line="360" w:lineRule="auto"/>
        <w:rPr>
          <w:rFonts w:ascii="Georgia" w:hAnsi="Georgia"/>
          <w:sz w:val="22"/>
          <w:szCs w:val="22"/>
        </w:rPr>
      </w:pPr>
      <w:r>
        <w:rPr>
          <w:rFonts w:ascii="Georgia" w:hAnsi="Georgia"/>
          <w:noProof/>
          <w:sz w:val="22"/>
          <w:szCs w:val="22"/>
        </w:rPr>
        <w:drawing>
          <wp:inline distT="0" distB="0" distL="0" distR="0" wp14:anchorId="558307E6" wp14:editId="485A9E4D">
            <wp:extent cx="6116320" cy="5092065"/>
            <wp:effectExtent l="0" t="0" r="508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16320" cy="5092065"/>
                    </a:xfrm>
                    <a:prstGeom prst="rect">
                      <a:avLst/>
                    </a:prstGeom>
                  </pic:spPr>
                </pic:pic>
              </a:graphicData>
            </a:graphic>
          </wp:inline>
        </w:drawing>
      </w:r>
    </w:p>
    <w:sectPr w:rsidR="00477E28" w:rsidRPr="00233AA6" w:rsidSect="003C7DAA">
      <w:headerReference w:type="default" r:id="rId10"/>
      <w:footerReference w:type="even" r:id="rId11"/>
      <w:footerReference w:type="default" r:id="rId12"/>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E76F6" w14:textId="77777777" w:rsidR="0030076E" w:rsidRDefault="0030076E" w:rsidP="00027107">
      <w:r>
        <w:separator/>
      </w:r>
    </w:p>
  </w:endnote>
  <w:endnote w:type="continuationSeparator" w:id="0">
    <w:p w14:paraId="5415119E" w14:textId="77777777" w:rsidR="0030076E" w:rsidRDefault="0030076E" w:rsidP="00027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9036874"/>
      <w:docPartObj>
        <w:docPartGallery w:val="Page Numbers (Bottom of Page)"/>
        <w:docPartUnique/>
      </w:docPartObj>
    </w:sdtPr>
    <w:sdtContent>
      <w:p w14:paraId="764B9961" w14:textId="6343211B" w:rsidR="00B13A6A" w:rsidRDefault="00B13A6A" w:rsidP="001829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A44DDA" w14:textId="77777777" w:rsidR="00B13A6A" w:rsidRDefault="00B13A6A" w:rsidP="00B13A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1939152"/>
      <w:docPartObj>
        <w:docPartGallery w:val="Page Numbers (Bottom of Page)"/>
        <w:docPartUnique/>
      </w:docPartObj>
    </w:sdtPr>
    <w:sdtContent>
      <w:p w14:paraId="1D461AFD" w14:textId="2E5EFB98" w:rsidR="00B13A6A" w:rsidRDefault="00B13A6A" w:rsidP="001829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7D76DF" w14:textId="77777777" w:rsidR="00B13A6A" w:rsidRDefault="00B13A6A" w:rsidP="00B13A6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A9FD9" w14:textId="77777777" w:rsidR="0030076E" w:rsidRDefault="0030076E" w:rsidP="00027107">
      <w:r>
        <w:separator/>
      </w:r>
    </w:p>
  </w:footnote>
  <w:footnote w:type="continuationSeparator" w:id="0">
    <w:p w14:paraId="29E487A7" w14:textId="77777777" w:rsidR="0030076E" w:rsidRDefault="0030076E" w:rsidP="000271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CC838" w14:textId="3A547265" w:rsidR="00B13A6A" w:rsidRDefault="00027107">
    <w:pPr>
      <w:pStyle w:val="Header"/>
    </w:pPr>
    <w:r>
      <w:t>Asger</w:t>
    </w:r>
    <w:r w:rsidR="00B13A6A">
      <w:t xml:space="preserve"> Damgaard-Sørensen,</w:t>
    </w:r>
    <w:r w:rsidR="00B13A6A" w:rsidRPr="00B13A6A">
      <w:t xml:space="preserve"> </w:t>
    </w:r>
    <w:r w:rsidR="00B13A6A">
      <w:tab/>
    </w:r>
    <w:r w:rsidR="00B13A6A">
      <w:t>Københavns Universitet</w:t>
    </w:r>
    <w:r w:rsidR="00B13A6A">
      <w:tab/>
    </w:r>
    <w:r w:rsidR="00B13A6A">
      <w:t>19-03-2021</w:t>
    </w:r>
  </w:p>
  <w:p w14:paraId="40810635" w14:textId="58044FB9" w:rsidR="00B13A6A" w:rsidRPr="00B13A6A" w:rsidRDefault="00027107">
    <w:pPr>
      <w:pStyle w:val="Header"/>
      <w:rPr>
        <w:lang w:val="nl-NL"/>
      </w:rPr>
    </w:pPr>
    <w:r w:rsidRPr="00B13A6A">
      <w:rPr>
        <w:lang w:val="nl-NL"/>
      </w:rPr>
      <w:t>Emil</w:t>
    </w:r>
    <w:r w:rsidR="00B13A6A" w:rsidRPr="00B13A6A">
      <w:rPr>
        <w:lang w:val="nl-NL"/>
      </w:rPr>
      <w:t xml:space="preserve"> </w:t>
    </w:r>
    <w:proofErr w:type="spellStart"/>
    <w:r w:rsidR="00B13A6A" w:rsidRPr="00B13A6A">
      <w:rPr>
        <w:lang w:val="nl-NL"/>
      </w:rPr>
      <w:t>B</w:t>
    </w:r>
    <w:r w:rsidR="00B13A6A">
      <w:rPr>
        <w:lang w:val="nl-NL"/>
      </w:rPr>
      <w:t>aa</w:t>
    </w:r>
    <w:r w:rsidR="00B13A6A" w:rsidRPr="00B13A6A">
      <w:rPr>
        <w:lang w:val="nl-NL"/>
      </w:rPr>
      <w:t>nd</w:t>
    </w:r>
    <w:proofErr w:type="spellEnd"/>
    <w:r w:rsidR="00B13A6A" w:rsidRPr="00B13A6A">
      <w:rPr>
        <w:lang w:val="nl-NL"/>
      </w:rPr>
      <w:t xml:space="preserve"> Henry </w:t>
    </w:r>
    <w:proofErr w:type="spellStart"/>
    <w:r w:rsidR="00B13A6A" w:rsidRPr="00B13A6A">
      <w:rPr>
        <w:lang w:val="nl-NL"/>
      </w:rPr>
      <w:t>Erbas</w:t>
    </w:r>
    <w:proofErr w:type="spellEnd"/>
    <w:r w:rsidR="00B13A6A" w:rsidRPr="00B13A6A">
      <w:rPr>
        <w:lang w:val="nl-NL"/>
      </w:rPr>
      <w:t xml:space="preserve"> Rasmussen,</w:t>
    </w:r>
    <w:r w:rsidRPr="00B13A6A">
      <w:rPr>
        <w:lang w:val="nl-NL"/>
      </w:rPr>
      <w:t xml:space="preserve"> </w:t>
    </w:r>
  </w:p>
  <w:p w14:paraId="7C597F36" w14:textId="33F3111E" w:rsidR="00B13A6A" w:rsidRPr="00B13A6A" w:rsidRDefault="00027107">
    <w:pPr>
      <w:pStyle w:val="Header"/>
      <w:rPr>
        <w:lang w:val="nl-NL"/>
      </w:rPr>
    </w:pPr>
    <w:proofErr w:type="spellStart"/>
    <w:r w:rsidRPr="00B13A6A">
      <w:rPr>
        <w:lang w:val="nl-NL"/>
      </w:rPr>
      <w:t>Jeppe</w:t>
    </w:r>
    <w:proofErr w:type="spellEnd"/>
    <w:r w:rsidR="00B13A6A" w:rsidRPr="00B13A6A">
      <w:rPr>
        <w:lang w:val="nl-NL"/>
      </w:rPr>
      <w:t xml:space="preserve"> </w:t>
    </w:r>
    <w:proofErr w:type="spellStart"/>
    <w:r w:rsidR="00B13A6A" w:rsidRPr="00B13A6A">
      <w:rPr>
        <w:lang w:val="nl-NL"/>
      </w:rPr>
      <w:t>Vanderhaegen</w:t>
    </w:r>
    <w:proofErr w:type="spellEnd"/>
    <w:r w:rsidR="00B13A6A" w:rsidRPr="00B13A6A">
      <w:rPr>
        <w:lang w:val="nl-NL"/>
      </w:rPr>
      <w:tab/>
    </w:r>
    <w:r w:rsidR="00B13A6A" w:rsidRPr="00B13A6A">
      <w:rPr>
        <w:lang w:val="nl-NL"/>
      </w:rPr>
      <w:tab/>
    </w:r>
  </w:p>
  <w:p w14:paraId="09FA79AA" w14:textId="7DE86CCE" w:rsidR="00027107" w:rsidRPr="00B13A6A" w:rsidRDefault="00B13A6A">
    <w:pPr>
      <w:pStyle w:val="Header"/>
      <w:rPr>
        <w:lang w:val="nl-NL"/>
      </w:rPr>
    </w:pPr>
    <w:r w:rsidRPr="00B13A6A">
      <w:rPr>
        <w:lang w:val="nl-NL"/>
      </w:rPr>
      <w:tab/>
    </w:r>
    <w:r w:rsidR="00027107" w:rsidRPr="00B13A6A">
      <w:rPr>
        <w:lang w:val="nl-N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03F3E"/>
    <w:multiLevelType w:val="hybridMultilevel"/>
    <w:tmpl w:val="6406A61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8A5B4B"/>
    <w:multiLevelType w:val="hybridMultilevel"/>
    <w:tmpl w:val="1FE4B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AA6"/>
    <w:rsid w:val="00027107"/>
    <w:rsid w:val="001376D0"/>
    <w:rsid w:val="001553AD"/>
    <w:rsid w:val="00167E1A"/>
    <w:rsid w:val="00233AA6"/>
    <w:rsid w:val="002F713D"/>
    <w:rsid w:val="0030076E"/>
    <w:rsid w:val="003A4A7C"/>
    <w:rsid w:val="003C7DAA"/>
    <w:rsid w:val="003F1FBB"/>
    <w:rsid w:val="0043300A"/>
    <w:rsid w:val="00446532"/>
    <w:rsid w:val="00477E28"/>
    <w:rsid w:val="004A5B5A"/>
    <w:rsid w:val="004C1B7E"/>
    <w:rsid w:val="00505239"/>
    <w:rsid w:val="0058032B"/>
    <w:rsid w:val="005C6889"/>
    <w:rsid w:val="00620FC3"/>
    <w:rsid w:val="00716C1C"/>
    <w:rsid w:val="0075769F"/>
    <w:rsid w:val="007A1173"/>
    <w:rsid w:val="007C3731"/>
    <w:rsid w:val="007C3968"/>
    <w:rsid w:val="0080363B"/>
    <w:rsid w:val="0080642C"/>
    <w:rsid w:val="00816F76"/>
    <w:rsid w:val="008B7F44"/>
    <w:rsid w:val="008D27BF"/>
    <w:rsid w:val="00914584"/>
    <w:rsid w:val="009267A7"/>
    <w:rsid w:val="009972EB"/>
    <w:rsid w:val="00A86AEC"/>
    <w:rsid w:val="00B13A6A"/>
    <w:rsid w:val="00BF322E"/>
    <w:rsid w:val="00C35A00"/>
    <w:rsid w:val="00C5396A"/>
    <w:rsid w:val="00DD2FE2"/>
    <w:rsid w:val="00E20A17"/>
    <w:rsid w:val="00E57A7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B43D4"/>
  <w15:chartTrackingRefBased/>
  <w15:docId w15:val="{E390099D-86D8-0945-A2BF-CA7D2E99B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AA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AA6"/>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80642C"/>
    <w:rPr>
      <w:color w:val="808080"/>
    </w:rPr>
  </w:style>
  <w:style w:type="paragraph" w:styleId="ListParagraph">
    <w:name w:val="List Paragraph"/>
    <w:basedOn w:val="Normal"/>
    <w:uiPriority w:val="34"/>
    <w:qFormat/>
    <w:rsid w:val="00446532"/>
    <w:pPr>
      <w:ind w:left="720"/>
      <w:contextualSpacing/>
    </w:pPr>
  </w:style>
  <w:style w:type="paragraph" w:styleId="Header">
    <w:name w:val="header"/>
    <w:basedOn w:val="Normal"/>
    <w:link w:val="HeaderChar"/>
    <w:uiPriority w:val="99"/>
    <w:unhideWhenUsed/>
    <w:rsid w:val="00027107"/>
    <w:pPr>
      <w:tabs>
        <w:tab w:val="center" w:pos="4513"/>
        <w:tab w:val="right" w:pos="9026"/>
      </w:tabs>
    </w:pPr>
  </w:style>
  <w:style w:type="character" w:customStyle="1" w:styleId="HeaderChar">
    <w:name w:val="Header Char"/>
    <w:basedOn w:val="DefaultParagraphFont"/>
    <w:link w:val="Header"/>
    <w:uiPriority w:val="99"/>
    <w:rsid w:val="00027107"/>
  </w:style>
  <w:style w:type="paragraph" w:styleId="Footer">
    <w:name w:val="footer"/>
    <w:basedOn w:val="Normal"/>
    <w:link w:val="FooterChar"/>
    <w:uiPriority w:val="99"/>
    <w:unhideWhenUsed/>
    <w:rsid w:val="00027107"/>
    <w:pPr>
      <w:tabs>
        <w:tab w:val="center" w:pos="4513"/>
        <w:tab w:val="right" w:pos="9026"/>
      </w:tabs>
    </w:pPr>
  </w:style>
  <w:style w:type="character" w:customStyle="1" w:styleId="FooterChar">
    <w:name w:val="Footer Char"/>
    <w:basedOn w:val="DefaultParagraphFont"/>
    <w:link w:val="Footer"/>
    <w:uiPriority w:val="99"/>
    <w:rsid w:val="00027107"/>
  </w:style>
  <w:style w:type="character" w:styleId="PageNumber">
    <w:name w:val="page number"/>
    <w:basedOn w:val="DefaultParagraphFont"/>
    <w:uiPriority w:val="99"/>
    <w:semiHidden/>
    <w:unhideWhenUsed/>
    <w:rsid w:val="00B13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53021">
      <w:bodyDiv w:val="1"/>
      <w:marLeft w:val="0"/>
      <w:marRight w:val="0"/>
      <w:marTop w:val="0"/>
      <w:marBottom w:val="0"/>
      <w:divBdr>
        <w:top w:val="none" w:sz="0" w:space="0" w:color="auto"/>
        <w:left w:val="none" w:sz="0" w:space="0" w:color="auto"/>
        <w:bottom w:val="none" w:sz="0" w:space="0" w:color="auto"/>
        <w:right w:val="none" w:sz="0" w:space="0" w:color="auto"/>
      </w:divBdr>
    </w:div>
    <w:div w:id="1380596167">
      <w:bodyDiv w:val="1"/>
      <w:marLeft w:val="0"/>
      <w:marRight w:val="0"/>
      <w:marTop w:val="0"/>
      <w:marBottom w:val="0"/>
      <w:divBdr>
        <w:top w:val="none" w:sz="0" w:space="0" w:color="auto"/>
        <w:left w:val="none" w:sz="0" w:space="0" w:color="auto"/>
        <w:bottom w:val="none" w:sz="0" w:space="0" w:color="auto"/>
        <w:right w:val="none" w:sz="0" w:space="0" w:color="auto"/>
      </w:divBdr>
      <w:divsChild>
        <w:div w:id="1440560921">
          <w:marLeft w:val="0"/>
          <w:marRight w:val="0"/>
          <w:marTop w:val="0"/>
          <w:marBottom w:val="0"/>
          <w:divBdr>
            <w:top w:val="none" w:sz="0" w:space="0" w:color="auto"/>
            <w:left w:val="none" w:sz="0" w:space="0" w:color="auto"/>
            <w:bottom w:val="none" w:sz="0" w:space="0" w:color="auto"/>
            <w:right w:val="none" w:sz="0" w:space="0" w:color="auto"/>
          </w:divBdr>
          <w:divsChild>
            <w:div w:id="722295870">
              <w:marLeft w:val="0"/>
              <w:marRight w:val="0"/>
              <w:marTop w:val="0"/>
              <w:marBottom w:val="0"/>
              <w:divBdr>
                <w:top w:val="none" w:sz="0" w:space="0" w:color="auto"/>
                <w:left w:val="none" w:sz="0" w:space="0" w:color="auto"/>
                <w:bottom w:val="none" w:sz="0" w:space="0" w:color="auto"/>
                <w:right w:val="none" w:sz="0" w:space="0" w:color="auto"/>
              </w:divBdr>
              <w:divsChild>
                <w:div w:id="14485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42330">
      <w:bodyDiv w:val="1"/>
      <w:marLeft w:val="0"/>
      <w:marRight w:val="0"/>
      <w:marTop w:val="0"/>
      <w:marBottom w:val="0"/>
      <w:divBdr>
        <w:top w:val="none" w:sz="0" w:space="0" w:color="auto"/>
        <w:left w:val="none" w:sz="0" w:space="0" w:color="auto"/>
        <w:bottom w:val="none" w:sz="0" w:space="0" w:color="auto"/>
        <w:right w:val="none" w:sz="0" w:space="0" w:color="auto"/>
      </w:divBdr>
    </w:div>
    <w:div w:id="157712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6</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Henry Erbas</dc:creator>
  <cp:keywords/>
  <dc:description/>
  <cp:lastModifiedBy>Jeppe Vanderhaegen</cp:lastModifiedBy>
  <cp:revision>12</cp:revision>
  <dcterms:created xsi:type="dcterms:W3CDTF">2021-03-10T16:47:00Z</dcterms:created>
  <dcterms:modified xsi:type="dcterms:W3CDTF">2021-03-18T10:03:00Z</dcterms:modified>
</cp:coreProperties>
</file>