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45CE" w14:textId="322F257F"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b/>
          <w:bCs/>
          <w:color w:val="000000"/>
          <w:sz w:val="28"/>
          <w:szCs w:val="28"/>
          <w:lang w:val="da-DK" w:eastAsia="en-GB"/>
        </w:rPr>
        <w:t>Opgave 1</w:t>
      </w:r>
    </w:p>
    <w:p w14:paraId="71E19D9D" w14:textId="77777777"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b/>
          <w:bCs/>
          <w:color w:val="000000"/>
          <w:sz w:val="22"/>
          <w:szCs w:val="22"/>
          <w:lang w:val="da-DK" w:eastAsia="en-GB"/>
        </w:rPr>
        <w:t>a)</w:t>
      </w:r>
    </w:p>
    <w:p w14:paraId="77688F8F" w14:textId="0F5FEFA8"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color w:val="000000"/>
          <w:sz w:val="22"/>
          <w:szCs w:val="22"/>
          <w:lang w:val="da-DK" w:eastAsia="en-GB"/>
        </w:rPr>
        <w:t>Kapitalomkostningen bruges ved en investering som diskonteringsrenten. Kapitalomkostningen af</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spejler det afkast, den bedste alternative investering vil give. I vores tilfælde er dette 10%.</w:t>
      </w:r>
    </w:p>
    <w:p w14:paraId="3779DC92" w14:textId="40E1A403"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color w:val="000000"/>
          <w:sz w:val="22"/>
          <w:szCs w:val="22"/>
          <w:lang w:val="da-DK" w:eastAsia="en-GB"/>
        </w:rPr>
        <w:t>Investeringen kan siges at være forbundet med en kapitalomkostning, selvom den finansieres ud fra henlagt overskud. Grunden til dette er, at virksomheden kunne have valgt at investere det henlagte overskud til kapitalomkostningen. Den givne kalkulationsrente på 10%.</w:t>
      </w:r>
    </w:p>
    <w:p w14:paraId="590F969E" w14:textId="384E2052" w:rsidR="00BC50D8" w:rsidRDefault="00BC50D8" w:rsidP="00BC50D8">
      <w:pPr>
        <w:spacing w:line="360" w:lineRule="auto"/>
        <w:rPr>
          <w:rFonts w:ascii="Calibri" w:eastAsia="Times New Roman" w:hAnsi="Calibri" w:cs="Calibri"/>
          <w:color w:val="000000"/>
          <w:sz w:val="22"/>
          <w:szCs w:val="22"/>
          <w:lang w:val="da-DK" w:eastAsia="en-GB"/>
        </w:rPr>
      </w:pPr>
      <w:r w:rsidRPr="00BC50D8">
        <w:rPr>
          <w:rFonts w:ascii="Calibri" w:eastAsia="Times New Roman" w:hAnsi="Calibri" w:cs="Calibri"/>
          <w:color w:val="000000"/>
          <w:sz w:val="22"/>
          <w:szCs w:val="22"/>
          <w:lang w:val="da-DK" w:eastAsia="en-GB"/>
        </w:rPr>
        <w:t>b)</w:t>
      </w:r>
    </w:p>
    <w:p w14:paraId="283AAD60" w14:textId="354CD278" w:rsidR="00BD4F34" w:rsidRDefault="00BD4F34" w:rsidP="00BC50D8">
      <w:pPr>
        <w:spacing w:line="360" w:lineRule="auto"/>
        <w:rPr>
          <w:rFonts w:ascii="Calibri" w:eastAsia="Times New Roman" w:hAnsi="Calibri" w:cs="Calibri"/>
          <w:color w:val="000000"/>
          <w:sz w:val="22"/>
          <w:szCs w:val="22"/>
          <w:lang w:val="da-DK" w:eastAsia="en-GB"/>
        </w:rPr>
      </w:pPr>
      <w:r>
        <w:rPr>
          <w:rFonts w:ascii="Calibri" w:eastAsia="Times New Roman" w:hAnsi="Calibri" w:cs="Calibri"/>
          <w:color w:val="000000"/>
          <w:sz w:val="22"/>
          <w:szCs w:val="22"/>
          <w:lang w:val="da-DK" w:eastAsia="en-GB"/>
        </w:rPr>
        <w:t xml:space="preserve">Tabel 1: </w:t>
      </w:r>
    </w:p>
    <w:p w14:paraId="4D960498" w14:textId="6B279526" w:rsidR="00BD4F34" w:rsidRPr="00BC50D8" w:rsidRDefault="00BD4F34" w:rsidP="00BC50D8">
      <w:pPr>
        <w:spacing w:line="360" w:lineRule="auto"/>
        <w:rPr>
          <w:rFonts w:ascii="Times New Roman" w:eastAsia="Times New Roman" w:hAnsi="Times New Roman" w:cs="Times New Roman"/>
          <w:color w:val="000000"/>
          <w:lang w:val="da-DK" w:eastAsia="en-GB"/>
        </w:rPr>
      </w:pPr>
      <w:r>
        <w:rPr>
          <w:rFonts w:ascii="Times New Roman" w:eastAsia="Times New Roman" w:hAnsi="Times New Roman" w:cs="Times New Roman"/>
          <w:noProof/>
          <w:color w:val="000000"/>
          <w:lang w:val="da-DK" w:eastAsia="en-GB"/>
        </w:rPr>
        <w:drawing>
          <wp:inline distT="0" distB="0" distL="0" distR="0" wp14:anchorId="6891D028" wp14:editId="7820AEC7">
            <wp:extent cx="5731510" cy="28721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2105"/>
                    </a:xfrm>
                    <a:prstGeom prst="rect">
                      <a:avLst/>
                    </a:prstGeom>
                  </pic:spPr>
                </pic:pic>
              </a:graphicData>
            </a:graphic>
          </wp:inline>
        </w:drawing>
      </w:r>
    </w:p>
    <w:p w14:paraId="46121EF0" w14:textId="599EB337" w:rsidR="00BC50D8" w:rsidRPr="00BC50D8" w:rsidRDefault="00BD4F34" w:rsidP="00BC50D8">
      <w:pPr>
        <w:spacing w:line="360" w:lineRule="auto"/>
        <w:rPr>
          <w:rFonts w:ascii="Times New Roman" w:eastAsia="Times New Roman" w:hAnsi="Times New Roman" w:cs="Times New Roman"/>
          <w:color w:val="000000"/>
          <w:lang w:val="da-DK" w:eastAsia="en-GB"/>
        </w:rPr>
      </w:pPr>
      <w:r>
        <w:rPr>
          <w:rFonts w:ascii="Calibri" w:eastAsia="Times New Roman" w:hAnsi="Calibri" w:cs="Calibri"/>
          <w:color w:val="000000"/>
          <w:sz w:val="22"/>
          <w:szCs w:val="22"/>
          <w:lang w:val="da-DK" w:eastAsia="en-GB"/>
        </w:rPr>
        <w:t>Jf. tabel 1</w:t>
      </w:r>
      <w:r w:rsidR="00BC50D8" w:rsidRPr="00BC50D8">
        <w:rPr>
          <w:rFonts w:ascii="Calibri" w:eastAsia="Times New Roman" w:hAnsi="Calibri" w:cs="Calibri"/>
          <w:color w:val="000000"/>
          <w:sz w:val="22"/>
          <w:szCs w:val="22"/>
          <w:lang w:val="da-DK" w:eastAsia="en-GB"/>
        </w:rPr>
        <w:t xml:space="preserve"> har</w:t>
      </w:r>
      <w:r>
        <w:rPr>
          <w:rFonts w:ascii="Calibri" w:eastAsia="Times New Roman" w:hAnsi="Calibri" w:cs="Calibri"/>
          <w:color w:val="000000"/>
          <w:sz w:val="22"/>
          <w:szCs w:val="22"/>
          <w:lang w:val="da-DK" w:eastAsia="en-GB"/>
        </w:rPr>
        <w:t xml:space="preserve"> vi</w:t>
      </w:r>
      <w:r w:rsidR="00BC50D8" w:rsidRPr="00BC50D8">
        <w:rPr>
          <w:rFonts w:ascii="Calibri" w:eastAsia="Times New Roman" w:hAnsi="Calibri" w:cs="Calibri"/>
          <w:color w:val="000000"/>
          <w:sz w:val="22"/>
          <w:szCs w:val="22"/>
          <w:lang w:val="da-DK" w:eastAsia="en-GB"/>
        </w:rPr>
        <w:t xml:space="preserve"> beregnet nettonutidsværdien for anlæg A og anlæg B, således:</w:t>
      </w:r>
    </w:p>
    <w:p w14:paraId="4039BA79" w14:textId="77777777"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color w:val="000000"/>
          <w:sz w:val="22"/>
          <w:szCs w:val="22"/>
          <w:lang w:val="da-DK" w:eastAsia="en-GB"/>
        </w:rPr>
        <w:t>Nettonutidsværdien for A er: 8.914.165kr.</w:t>
      </w:r>
    </w:p>
    <w:p w14:paraId="01B39345" w14:textId="77777777"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color w:val="000000"/>
          <w:sz w:val="22"/>
          <w:szCs w:val="22"/>
          <w:lang w:val="da-DK" w:eastAsia="en-GB"/>
        </w:rPr>
        <w:t>Nettonutidsværdien for B er: 8.037.265kr.</w:t>
      </w:r>
    </w:p>
    <w:p w14:paraId="4A7B59D6" w14:textId="1F93EF7F" w:rsidR="00BD4F34"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color w:val="000000"/>
          <w:sz w:val="22"/>
          <w:szCs w:val="22"/>
          <w:lang w:val="da-DK" w:eastAsia="en-GB"/>
        </w:rPr>
        <w:t>Beregningen foretaget i denne opgave kan konkludere at investeringen i form af anlæg A er bedst. Vi kan bruge nettonutidsværdien, da denne beskriver den skabte værdi, investeringen giver virksomhe</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den over den pågældende tidsperiode. Nutidsværdien helt generelt tager højde for alternativom</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kostningerne, og hvis nutidsværdien &gt; 0 skal investeringen gennemføres. I vores tilfælde er begge investeringer profitable, da nutidsværdien er større end 0, men anlæg A har den højeste, hvoraf denne investering prioriteres..</w:t>
      </w:r>
      <w:r w:rsidR="00BD4F34">
        <w:rPr>
          <w:rFonts w:ascii="Times New Roman" w:eastAsia="Times New Roman" w:hAnsi="Times New Roman" w:cs="Times New Roman"/>
          <w:color w:val="000000"/>
          <w:lang w:val="da-DK" w:eastAsia="en-GB"/>
        </w:rPr>
        <w:t xml:space="preserve"> </w:t>
      </w:r>
      <w:r w:rsidRPr="00BC50D8">
        <w:rPr>
          <w:rFonts w:ascii="Calibri" w:eastAsia="Times New Roman" w:hAnsi="Calibri" w:cs="Calibri"/>
          <w:color w:val="000000"/>
          <w:sz w:val="22"/>
          <w:szCs w:val="22"/>
          <w:lang w:val="da-DK" w:eastAsia="en-GB"/>
        </w:rPr>
        <w:t>Alternativt kan man beregne annuitetsværdien, eftersom de investe</w:t>
      </w:r>
      <w:r w:rsidR="009B3046">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ringerne forløber sig over samme tidshorisont. Annuitetsværdien bekræfter hermed også, at anlæg A er den bedste inve</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stering.</w:t>
      </w:r>
      <w:r w:rsidR="00BD4F34">
        <w:rPr>
          <w:rFonts w:ascii="Times New Roman" w:eastAsia="Times New Roman" w:hAnsi="Times New Roman" w:cs="Times New Roman"/>
          <w:color w:val="000000"/>
          <w:lang w:val="da-DK" w:eastAsia="en-GB"/>
        </w:rPr>
        <w:t xml:space="preserve"> </w:t>
      </w:r>
    </w:p>
    <w:p w14:paraId="055D5665" w14:textId="2E70CEAD" w:rsidR="00BC50D8" w:rsidRPr="00BC50D8" w:rsidRDefault="00BD4F34" w:rsidP="00BC50D8">
      <w:pPr>
        <w:spacing w:line="360" w:lineRule="auto"/>
        <w:rPr>
          <w:rFonts w:ascii="Times New Roman" w:eastAsia="Times New Roman" w:hAnsi="Times New Roman" w:cs="Times New Roman"/>
          <w:color w:val="000000"/>
          <w:lang w:val="da-DK" w:eastAsia="en-GB"/>
        </w:rPr>
      </w:pPr>
      <w:r>
        <w:rPr>
          <w:rFonts w:ascii="Times New Roman" w:eastAsia="Times New Roman" w:hAnsi="Times New Roman" w:cs="Times New Roman"/>
          <w:color w:val="000000"/>
          <w:lang w:val="da-DK" w:eastAsia="en-GB"/>
        </w:rPr>
        <w:lastRenderedPageBreak/>
        <w:t xml:space="preserve">     </w:t>
      </w:r>
      <w:r w:rsidR="00BC50D8" w:rsidRPr="00BC50D8">
        <w:rPr>
          <w:rFonts w:ascii="Calibri" w:eastAsia="Times New Roman" w:hAnsi="Calibri" w:cs="Calibri"/>
          <w:color w:val="000000"/>
          <w:sz w:val="22"/>
          <w:szCs w:val="22"/>
          <w:lang w:val="da-DK" w:eastAsia="en-GB"/>
        </w:rPr>
        <w:t>En ulempe ved anlæg A er dog, at investeringens akkumulerede nutidsværdi først bliver positiv et år efter anlæg B. Vi udleder i 2024 er anlæg B’s nutidsværdi større end 0, hvorimod anlæg A’s stadig er negativ.</w:t>
      </w:r>
    </w:p>
    <w:p w14:paraId="68C8087A" w14:textId="0323F6CE"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b/>
          <w:bCs/>
          <w:color w:val="000000"/>
          <w:sz w:val="22"/>
          <w:szCs w:val="22"/>
          <w:lang w:val="da-DK" w:eastAsia="en-GB"/>
        </w:rPr>
        <w:t>De initiale investeringer er forskellige fra hinanden, når det gælder anlæg A og anlæg B. Dette spil</w:t>
      </w:r>
      <w:r>
        <w:rPr>
          <w:rFonts w:ascii="Calibri" w:eastAsia="Times New Roman" w:hAnsi="Calibri" w:cs="Calibri"/>
          <w:b/>
          <w:bCs/>
          <w:color w:val="000000"/>
          <w:sz w:val="22"/>
          <w:szCs w:val="22"/>
          <w:lang w:val="da-DK" w:eastAsia="en-GB"/>
        </w:rPr>
        <w:softHyphen/>
      </w:r>
      <w:r w:rsidRPr="00BC50D8">
        <w:rPr>
          <w:rFonts w:ascii="Calibri" w:eastAsia="Times New Roman" w:hAnsi="Calibri" w:cs="Calibri"/>
          <w:b/>
          <w:bCs/>
          <w:color w:val="000000"/>
          <w:sz w:val="22"/>
          <w:szCs w:val="22"/>
          <w:lang w:val="da-DK" w:eastAsia="en-GB"/>
        </w:rPr>
        <w:t>ler den rolle, at man på baggrund af den interne rente, ikke kan konkludere noget. Af denne grund prioriteres de ovennævnte kriterier for værdiansættelse og beslutninger ift. gennemførelse af in</w:t>
      </w:r>
      <w:r>
        <w:rPr>
          <w:rFonts w:ascii="Calibri" w:eastAsia="Times New Roman" w:hAnsi="Calibri" w:cs="Calibri"/>
          <w:b/>
          <w:bCs/>
          <w:color w:val="000000"/>
          <w:sz w:val="22"/>
          <w:szCs w:val="22"/>
          <w:lang w:val="da-DK" w:eastAsia="en-GB"/>
        </w:rPr>
        <w:softHyphen/>
      </w:r>
      <w:r w:rsidRPr="00BC50D8">
        <w:rPr>
          <w:rFonts w:ascii="Calibri" w:eastAsia="Times New Roman" w:hAnsi="Calibri" w:cs="Calibri"/>
          <w:b/>
          <w:bCs/>
          <w:color w:val="000000"/>
          <w:sz w:val="22"/>
          <w:szCs w:val="22"/>
          <w:lang w:val="da-DK" w:eastAsia="en-GB"/>
        </w:rPr>
        <w:t>vesteringen.  </w:t>
      </w:r>
    </w:p>
    <w:p w14:paraId="5CFA1B77" w14:textId="77777777"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color w:val="000000"/>
          <w:sz w:val="22"/>
          <w:szCs w:val="22"/>
          <w:lang w:val="da-DK" w:eastAsia="en-GB"/>
        </w:rPr>
        <w:t> </w:t>
      </w:r>
    </w:p>
    <w:p w14:paraId="52C758CF" w14:textId="18DE007B"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b/>
          <w:bCs/>
          <w:color w:val="000000"/>
          <w:sz w:val="22"/>
          <w:szCs w:val="22"/>
          <w:lang w:val="da-DK" w:eastAsia="en-GB"/>
        </w:rPr>
        <w:t>Det kan spille en rolle, hvis nu at virksomheden har et budget, der skal overholdes, eller hvis pla</w:t>
      </w:r>
      <w:r>
        <w:rPr>
          <w:rFonts w:ascii="Calibri" w:eastAsia="Times New Roman" w:hAnsi="Calibri" w:cs="Calibri"/>
          <w:b/>
          <w:bCs/>
          <w:color w:val="000000"/>
          <w:sz w:val="22"/>
          <w:szCs w:val="22"/>
          <w:lang w:val="da-DK" w:eastAsia="en-GB"/>
        </w:rPr>
        <w:softHyphen/>
      </w:r>
      <w:r w:rsidRPr="00BC50D8">
        <w:rPr>
          <w:rFonts w:ascii="Calibri" w:eastAsia="Times New Roman" w:hAnsi="Calibri" w:cs="Calibri"/>
          <w:b/>
          <w:bCs/>
          <w:color w:val="000000"/>
          <w:sz w:val="22"/>
          <w:szCs w:val="22"/>
          <w:lang w:val="da-DK" w:eastAsia="en-GB"/>
        </w:rPr>
        <w:t>nen for virksomheden var at udbetale en mængde dividende til aktionærerne i virksomheden.</w:t>
      </w:r>
    </w:p>
    <w:p w14:paraId="44A6D53E" w14:textId="77777777"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color w:val="000000"/>
          <w:sz w:val="22"/>
          <w:szCs w:val="22"/>
          <w:lang w:val="da-DK" w:eastAsia="en-GB"/>
        </w:rPr>
        <w:t>c)</w:t>
      </w:r>
    </w:p>
    <w:p w14:paraId="4F4F8669" w14:textId="21EBB039" w:rsidR="00BC50D8" w:rsidRDefault="00BC50D8" w:rsidP="00BC50D8">
      <w:pPr>
        <w:spacing w:line="360" w:lineRule="auto"/>
        <w:rPr>
          <w:rFonts w:ascii="Calibri" w:eastAsia="Times New Roman" w:hAnsi="Calibri" w:cs="Calibri"/>
          <w:color w:val="000000"/>
          <w:sz w:val="22"/>
          <w:szCs w:val="22"/>
          <w:lang w:val="da-DK" w:eastAsia="en-GB"/>
        </w:rPr>
      </w:pPr>
      <w:r w:rsidRPr="00BC50D8">
        <w:rPr>
          <w:rFonts w:ascii="Calibri" w:eastAsia="Times New Roman" w:hAnsi="Calibri" w:cs="Calibri"/>
          <w:color w:val="000000"/>
          <w:sz w:val="22"/>
          <w:szCs w:val="22"/>
          <w:lang w:val="da-DK" w:eastAsia="en-GB"/>
        </w:rPr>
        <w:t>Det årlige procentvise fald i energiprisen skal være større end 13,25% for at projekt B har en højere nettonutidsværdi end projekt A. Ved 13,25% har begge projekter en nettonutidsværdi på 9.885.711 kr</w:t>
      </w:r>
      <w:r w:rsidR="00BD4F34">
        <w:rPr>
          <w:rFonts w:ascii="Calibri" w:eastAsia="Times New Roman" w:hAnsi="Calibri" w:cs="Calibri"/>
          <w:color w:val="000000"/>
          <w:sz w:val="22"/>
          <w:szCs w:val="22"/>
          <w:lang w:val="da-DK" w:eastAsia="en-GB"/>
        </w:rPr>
        <w:t>. jf. tabel 2</w:t>
      </w:r>
      <w:r w:rsidRPr="00BC50D8">
        <w:rPr>
          <w:rFonts w:ascii="Calibri" w:eastAsia="Times New Roman" w:hAnsi="Calibri" w:cs="Calibri"/>
          <w:color w:val="000000"/>
          <w:sz w:val="22"/>
          <w:szCs w:val="22"/>
          <w:lang w:val="da-DK" w:eastAsia="en-GB"/>
        </w:rPr>
        <w:t>. Falder energiprisen mere vil projekt B være den bedre investering. Dette skyldes for</w:t>
      </w:r>
      <w:r w:rsidR="009B3046">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skelle i for</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brug samt investeringsbeløb. Anlæg A har et større investeringsbeløb mens anlæg B har et større forbrug. Da anlæg B har et større forbrug end anlæg A vil et fald i energiprisen mindske anlæg B’s omkostninger relativt mere. På et givet tidspunkt vil nutidsværdien af anlæg B være større end an</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læg A.</w:t>
      </w:r>
    </w:p>
    <w:p w14:paraId="47BF91B2" w14:textId="352EFEF2" w:rsidR="00BD4F34" w:rsidRDefault="00BD4F34" w:rsidP="00BC50D8">
      <w:pPr>
        <w:spacing w:line="360" w:lineRule="auto"/>
        <w:rPr>
          <w:rFonts w:ascii="Calibri" w:eastAsia="Times New Roman" w:hAnsi="Calibri" w:cs="Calibri"/>
          <w:color w:val="000000"/>
          <w:sz w:val="22"/>
          <w:szCs w:val="22"/>
          <w:lang w:val="da-DK" w:eastAsia="en-GB"/>
        </w:rPr>
      </w:pPr>
      <w:r>
        <w:rPr>
          <w:rFonts w:ascii="Calibri" w:eastAsia="Times New Roman" w:hAnsi="Calibri" w:cs="Calibri"/>
          <w:color w:val="000000"/>
          <w:sz w:val="22"/>
          <w:szCs w:val="22"/>
          <w:lang w:val="da-DK" w:eastAsia="en-GB"/>
        </w:rPr>
        <w:t>Tabel 2</w:t>
      </w:r>
    </w:p>
    <w:p w14:paraId="38E450A6" w14:textId="16595C8D" w:rsidR="00BC50D8" w:rsidRPr="00BC50D8" w:rsidRDefault="00BD4F34" w:rsidP="00BD4F34">
      <w:pPr>
        <w:spacing w:line="360" w:lineRule="auto"/>
        <w:rPr>
          <w:rFonts w:ascii="Times New Roman" w:eastAsia="Times New Roman" w:hAnsi="Times New Roman" w:cs="Times New Roman"/>
          <w:color w:val="000000"/>
          <w:lang w:val="da-DK" w:eastAsia="en-GB"/>
        </w:rPr>
      </w:pPr>
      <w:r>
        <w:rPr>
          <w:rFonts w:ascii="Times New Roman" w:eastAsia="Times New Roman" w:hAnsi="Times New Roman" w:cs="Times New Roman"/>
          <w:noProof/>
          <w:color w:val="000000"/>
          <w:lang w:val="da-DK" w:eastAsia="en-GB"/>
        </w:rPr>
        <w:drawing>
          <wp:inline distT="0" distB="0" distL="0" distR="0" wp14:anchorId="33BB3698" wp14:editId="214CB21A">
            <wp:extent cx="3632200" cy="5715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2200" cy="571500"/>
                    </a:xfrm>
                    <a:prstGeom prst="rect">
                      <a:avLst/>
                    </a:prstGeom>
                  </pic:spPr>
                </pic:pic>
              </a:graphicData>
            </a:graphic>
          </wp:inline>
        </w:drawing>
      </w:r>
    </w:p>
    <w:p w14:paraId="29F6B65D" w14:textId="77777777"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color w:val="000000"/>
          <w:sz w:val="22"/>
          <w:szCs w:val="22"/>
          <w:lang w:val="da-DK" w:eastAsia="en-GB"/>
        </w:rPr>
        <w:t>d)</w:t>
      </w:r>
    </w:p>
    <w:p w14:paraId="78BEE141" w14:textId="065F114D" w:rsidR="00BC50D8" w:rsidRPr="00BC50D8" w:rsidRDefault="00BC50D8" w:rsidP="00BC50D8">
      <w:pPr>
        <w:spacing w:line="360" w:lineRule="auto"/>
        <w:rPr>
          <w:rFonts w:ascii="Times New Roman" w:eastAsia="Times New Roman" w:hAnsi="Times New Roman" w:cs="Times New Roman"/>
          <w:color w:val="000000"/>
          <w:lang w:val="da-DK" w:eastAsia="en-GB"/>
        </w:rPr>
      </w:pPr>
      <w:r w:rsidRPr="00BC50D8">
        <w:rPr>
          <w:rFonts w:ascii="Calibri" w:eastAsia="Times New Roman" w:hAnsi="Calibri" w:cs="Calibri"/>
          <w:color w:val="000000"/>
          <w:sz w:val="22"/>
          <w:szCs w:val="22"/>
          <w:lang w:val="da-DK" w:eastAsia="en-GB"/>
        </w:rPr>
        <w:t>Nettonutidsværdien for investeringsprojekterne afhænger af diskonteringsrenten. Tidligere beskre</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vet er diskonteringsrenten afkastet af den bedst mulige alternative investering. Når diskonterings</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renten stiger, vil nettonutidsværdien falde. Dette skyldes, afkastet fra d</w:t>
      </w:r>
      <w:r w:rsidR="009B3046">
        <w:rPr>
          <w:rFonts w:ascii="Calibri" w:eastAsia="Times New Roman" w:hAnsi="Calibri" w:cs="Calibri"/>
          <w:color w:val="000000"/>
          <w:sz w:val="22"/>
          <w:szCs w:val="22"/>
          <w:lang w:val="da-DK" w:eastAsia="en-GB"/>
        </w:rPr>
        <w:tab/>
      </w:r>
      <w:r w:rsidRPr="00BC50D8">
        <w:rPr>
          <w:rFonts w:ascii="Calibri" w:eastAsia="Times New Roman" w:hAnsi="Calibri" w:cs="Calibri"/>
          <w:color w:val="000000"/>
          <w:sz w:val="22"/>
          <w:szCs w:val="22"/>
          <w:lang w:val="da-DK" w:eastAsia="en-GB"/>
        </w:rPr>
        <w:t>en alternative investering bli</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ver bedre, hvilket gør alternativomkostningerne større og den pågældende investering relativt min</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dre rentabel – altså nettonutidsværdien falder. Den interne rentes findes der, hvor diskonteringsren</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ten giver en nettonutidsværdien der er lig 0. Altså vil den alternative investering give samme rentabi</w:t>
      </w:r>
      <w:r>
        <w:rPr>
          <w:rFonts w:ascii="Calibri" w:eastAsia="Times New Roman" w:hAnsi="Calibri" w:cs="Calibri"/>
          <w:color w:val="000000"/>
          <w:sz w:val="22"/>
          <w:szCs w:val="22"/>
          <w:lang w:val="da-DK" w:eastAsia="en-GB"/>
        </w:rPr>
        <w:softHyphen/>
      </w:r>
      <w:r w:rsidRPr="00BC50D8">
        <w:rPr>
          <w:rFonts w:ascii="Calibri" w:eastAsia="Times New Roman" w:hAnsi="Calibri" w:cs="Calibri"/>
          <w:color w:val="000000"/>
          <w:sz w:val="22"/>
          <w:szCs w:val="22"/>
          <w:lang w:val="da-DK" w:eastAsia="en-GB"/>
        </w:rPr>
        <w:t>litet ved denne diskonteringsrente. Ved den interne rentefods metode forstås der, at investeringen skal gennemføres, hvis den interne rente er større en diskonteringsrenten/kapitalomkostningen.</w:t>
      </w:r>
    </w:p>
    <w:p w14:paraId="4DD461CA" w14:textId="059E8FB1" w:rsidR="00BC50D8" w:rsidRDefault="00BC50D8" w:rsidP="00BC50D8">
      <w:pPr>
        <w:spacing w:line="360" w:lineRule="auto"/>
        <w:rPr>
          <w:rFonts w:ascii="Calibri" w:eastAsia="Times New Roman" w:hAnsi="Calibri" w:cs="Calibri"/>
          <w:color w:val="000000"/>
          <w:sz w:val="22"/>
          <w:szCs w:val="22"/>
          <w:lang w:val="da-DK" w:eastAsia="en-GB"/>
        </w:rPr>
      </w:pPr>
      <w:r w:rsidRPr="00BC50D8">
        <w:rPr>
          <w:rFonts w:ascii="Calibri" w:eastAsia="Times New Roman" w:hAnsi="Calibri" w:cs="Calibri"/>
          <w:color w:val="000000"/>
          <w:sz w:val="22"/>
          <w:szCs w:val="22"/>
          <w:lang w:val="da-DK" w:eastAsia="en-GB"/>
        </w:rPr>
        <w:t>I vores opgave er de to forskellige investeringsprojekter henholdsvis anlæg A’s interne rente 27% og anlæg B er 36%.</w:t>
      </w:r>
    </w:p>
    <w:p w14:paraId="2EFB3372" w14:textId="75F17474" w:rsidR="009B3046" w:rsidRDefault="009B3046" w:rsidP="00BC50D8">
      <w:pPr>
        <w:spacing w:line="360" w:lineRule="auto"/>
        <w:rPr>
          <w:rFonts w:ascii="Calibri" w:eastAsia="Times New Roman" w:hAnsi="Calibri" w:cs="Calibri"/>
          <w:color w:val="000000"/>
          <w:sz w:val="22"/>
          <w:szCs w:val="22"/>
          <w:lang w:val="da-DK" w:eastAsia="en-GB"/>
        </w:rPr>
      </w:pPr>
    </w:p>
    <w:p w14:paraId="4B0D7063" w14:textId="77777777" w:rsidR="009B3046" w:rsidRPr="00BC50D8" w:rsidRDefault="009B3046" w:rsidP="00BC50D8">
      <w:pPr>
        <w:spacing w:line="360" w:lineRule="auto"/>
        <w:rPr>
          <w:rFonts w:ascii="Times New Roman" w:eastAsia="Times New Roman" w:hAnsi="Times New Roman" w:cs="Times New Roman"/>
          <w:color w:val="000000"/>
          <w:lang w:val="da-DK" w:eastAsia="en-GB"/>
        </w:rPr>
      </w:pPr>
    </w:p>
    <w:p w14:paraId="67B860DE" w14:textId="06FF8044" w:rsidR="00BC50D8" w:rsidRDefault="00BC50D8" w:rsidP="00BC50D8">
      <w:pPr>
        <w:spacing w:line="360" w:lineRule="auto"/>
        <w:rPr>
          <w:rFonts w:ascii="Calibri" w:eastAsia="Times New Roman" w:hAnsi="Calibri" w:cs="Calibri"/>
          <w:color w:val="000000"/>
          <w:sz w:val="22"/>
          <w:szCs w:val="22"/>
          <w:lang w:val="da-DK" w:eastAsia="en-GB"/>
        </w:rPr>
      </w:pPr>
      <w:r>
        <w:rPr>
          <w:rFonts w:ascii="Calibri" w:eastAsia="Times New Roman" w:hAnsi="Calibri" w:cs="Calibri"/>
          <w:color w:val="000000"/>
          <w:sz w:val="22"/>
          <w:szCs w:val="22"/>
          <w:lang w:val="da-DK" w:eastAsia="en-GB"/>
        </w:rPr>
        <w:t>Nutidsværdiformlen:</w:t>
      </w:r>
    </w:p>
    <w:p w14:paraId="35C16EFA" w14:textId="7CB88DBE" w:rsidR="00BC50D8" w:rsidRPr="00BC50D8" w:rsidRDefault="00BC50D8" w:rsidP="00BC50D8">
      <w:pPr>
        <w:spacing w:line="360" w:lineRule="auto"/>
        <w:rPr>
          <w:rFonts w:ascii="Times New Roman" w:eastAsia="Times New Roman" w:hAnsi="Times New Roman" w:cs="Times New Roman"/>
          <w:color w:val="000000"/>
          <w:lang w:val="da-DK" w:eastAsia="en-GB"/>
        </w:rPr>
      </w:pPr>
      <m:oMathPara>
        <m:oMath>
          <m:r>
            <w:rPr>
              <w:rFonts w:ascii="Cambria Math" w:eastAsia="Times New Roman" w:hAnsi="Cambria Math" w:cs="Times New Roman"/>
              <w:color w:val="000000"/>
              <w:lang w:val="da-DK" w:eastAsia="en-GB"/>
            </w:rPr>
            <m:t>PV=</m:t>
          </m:r>
          <m:f>
            <m:fPr>
              <m:ctrlPr>
                <w:rPr>
                  <w:rFonts w:ascii="Cambria Math" w:eastAsia="Times New Roman" w:hAnsi="Cambria Math" w:cs="Times New Roman"/>
                  <w:i/>
                  <w:color w:val="000000"/>
                  <w:lang w:val="da-DK" w:eastAsia="en-GB"/>
                </w:rPr>
              </m:ctrlPr>
            </m:fPr>
            <m:num>
              <m:r>
                <w:rPr>
                  <w:rFonts w:ascii="Cambria Math" w:eastAsia="Times New Roman" w:hAnsi="Cambria Math" w:cs="Times New Roman"/>
                  <w:color w:val="000000"/>
                  <w:lang w:val="da-DK" w:eastAsia="en-GB"/>
                </w:rPr>
                <m:t>FV</m:t>
              </m:r>
            </m:num>
            <m:den>
              <m:sSup>
                <m:sSupPr>
                  <m:ctrlPr>
                    <w:rPr>
                      <w:rFonts w:ascii="Cambria Math" w:eastAsia="Times New Roman" w:hAnsi="Cambria Math" w:cs="Times New Roman"/>
                      <w:i/>
                      <w:color w:val="000000"/>
                      <w:lang w:val="da-DK" w:eastAsia="en-GB"/>
                    </w:rPr>
                  </m:ctrlPr>
                </m:sSupPr>
                <m:e>
                  <m:d>
                    <m:dPr>
                      <m:ctrlPr>
                        <w:rPr>
                          <w:rFonts w:ascii="Cambria Math" w:eastAsia="Times New Roman" w:hAnsi="Cambria Math" w:cs="Times New Roman"/>
                          <w:i/>
                          <w:color w:val="000000"/>
                          <w:lang w:val="da-DK" w:eastAsia="en-GB"/>
                        </w:rPr>
                      </m:ctrlPr>
                    </m:dPr>
                    <m:e>
                      <m:r>
                        <w:rPr>
                          <w:rFonts w:ascii="Cambria Math" w:eastAsia="Times New Roman" w:hAnsi="Cambria Math" w:cs="Times New Roman"/>
                          <w:color w:val="000000"/>
                          <w:lang w:val="da-DK" w:eastAsia="en-GB"/>
                        </w:rPr>
                        <m:t>1+r</m:t>
                      </m:r>
                    </m:e>
                  </m:d>
                </m:e>
                <m:sup>
                  <m:r>
                    <w:rPr>
                      <w:rFonts w:ascii="Cambria Math" w:eastAsia="Times New Roman" w:hAnsi="Cambria Math" w:cs="Times New Roman"/>
                      <w:color w:val="000000"/>
                      <w:lang w:val="da-DK" w:eastAsia="en-GB"/>
                    </w:rPr>
                    <m:t>t</m:t>
                  </m:r>
                </m:sup>
              </m:sSup>
            </m:den>
          </m:f>
          <m:r>
            <w:rPr>
              <w:rFonts w:ascii="Cambria Math" w:eastAsia="Times New Roman" w:hAnsi="Cambria Math" w:cs="Times New Roman"/>
              <w:color w:val="000000"/>
              <w:lang w:val="da-DK" w:eastAsia="en-GB"/>
            </w:rPr>
            <m:t>-Investeringsbeløb</m:t>
          </m:r>
        </m:oMath>
      </m:oMathPara>
    </w:p>
    <w:p w14:paraId="2769005D" w14:textId="3D11EB1C" w:rsidR="00BC50D8" w:rsidRPr="00BD4F34" w:rsidRDefault="00BC50D8" w:rsidP="00BC50D8">
      <w:pPr>
        <w:spacing w:line="360" w:lineRule="auto"/>
        <w:rPr>
          <w:rFonts w:ascii="Calibri" w:eastAsia="Times New Roman" w:hAnsi="Calibri" w:cs="Times New Roman"/>
          <w:color w:val="000000"/>
          <w:lang w:val="da-DK" w:eastAsia="en-GB"/>
        </w:rPr>
      </w:pPr>
      <w:r w:rsidRPr="00BD4F34">
        <w:rPr>
          <w:rFonts w:ascii="Calibri" w:eastAsia="Times New Roman" w:hAnsi="Calibri" w:cs="Calibri"/>
          <w:color w:val="000000"/>
          <w:sz w:val="22"/>
          <w:szCs w:val="22"/>
          <w:lang w:val="da-DK" w:eastAsia="en-GB"/>
        </w:rPr>
        <w:t xml:space="preserve">Ud fra </w:t>
      </w:r>
      <w:proofErr w:type="spellStart"/>
      <w:r w:rsidRPr="00BD4F34">
        <w:rPr>
          <w:rFonts w:ascii="Calibri" w:eastAsia="Times New Roman" w:hAnsi="Calibri" w:cs="Calibri"/>
          <w:color w:val="000000"/>
          <w:sz w:val="22"/>
          <w:szCs w:val="22"/>
          <w:lang w:val="da-DK" w:eastAsia="en-GB"/>
        </w:rPr>
        <w:t>NPV’s</w:t>
      </w:r>
      <w:proofErr w:type="spellEnd"/>
      <w:r w:rsidRPr="00BD4F34">
        <w:rPr>
          <w:rFonts w:ascii="Calibri" w:eastAsia="Times New Roman" w:hAnsi="Calibri" w:cs="Calibri"/>
          <w:color w:val="000000"/>
          <w:sz w:val="22"/>
          <w:szCs w:val="22"/>
          <w:lang w:val="da-DK" w:eastAsia="en-GB"/>
        </w:rPr>
        <w:t xml:space="preserve"> formel kan man se, at i absolutte værdi vil NPV falde mere desto større </w:t>
      </w:r>
      <w:proofErr w:type="spellStart"/>
      <w:r w:rsidRPr="00BD4F34">
        <w:rPr>
          <w:rFonts w:ascii="Calibri" w:eastAsia="Times New Roman" w:hAnsi="Calibri" w:cs="Calibri"/>
          <w:i/>
          <w:iCs/>
          <w:color w:val="000000"/>
          <w:sz w:val="22"/>
          <w:szCs w:val="22"/>
          <w:lang w:val="da-DK" w:eastAsia="en-GB"/>
        </w:rPr>
        <w:t>cash</w:t>
      </w:r>
      <w:proofErr w:type="spellEnd"/>
      <w:r w:rsidRPr="00BD4F34">
        <w:rPr>
          <w:rFonts w:ascii="Calibri" w:eastAsia="Times New Roman" w:hAnsi="Calibri" w:cs="Calibri"/>
          <w:i/>
          <w:iCs/>
          <w:color w:val="000000"/>
          <w:sz w:val="22"/>
          <w:szCs w:val="22"/>
          <w:lang w:val="da-DK" w:eastAsia="en-GB"/>
        </w:rPr>
        <w:t>-flow</w:t>
      </w:r>
      <w:r w:rsidRPr="00BD4F34">
        <w:rPr>
          <w:rFonts w:ascii="Calibri" w:eastAsia="Times New Roman" w:hAnsi="Calibri" w:cs="Calibri"/>
          <w:color w:val="000000"/>
          <w:sz w:val="22"/>
          <w:szCs w:val="22"/>
          <w:lang w:val="da-DK" w:eastAsia="en-GB"/>
        </w:rPr>
        <w:t xml:space="preserve"> er, når diskonteringsrenten stiger. Derfor har anlæg A en større hældning end anlæg B. Begge anlæg har også forskellige investeringsbeløb, hvilket gør at vi ikke kan konkludere om investering A eller B er bedste ud fra den interne rente. Ifølge rentefodsmetoden skulle man vælge anlæg B, da anlægget har den højere interne rente af de to projekter ved samme diskonteringsrente. Disse kan dog ikke sammenlignes pga. begrænsningerne omtalt i b)</w:t>
      </w:r>
    </w:p>
    <w:p w14:paraId="023FAFDA" w14:textId="77777777" w:rsidR="00BC50D8" w:rsidRPr="00BD4F34" w:rsidRDefault="00BC50D8" w:rsidP="00BC50D8">
      <w:pPr>
        <w:spacing w:after="240" w:line="360" w:lineRule="auto"/>
        <w:rPr>
          <w:rFonts w:ascii="Calibri" w:eastAsia="Times New Roman" w:hAnsi="Calibri" w:cs="Times New Roman"/>
          <w:color w:val="000000"/>
          <w:lang w:val="da-DK" w:eastAsia="en-GB"/>
        </w:rPr>
      </w:pPr>
    </w:p>
    <w:p w14:paraId="6049FD49" w14:textId="09B8CF8F" w:rsidR="00BC50D8" w:rsidRPr="00BD4F34" w:rsidRDefault="00BC50D8" w:rsidP="00BC50D8">
      <w:pPr>
        <w:spacing w:line="360" w:lineRule="auto"/>
        <w:rPr>
          <w:rFonts w:ascii="Calibri" w:eastAsia="Times New Roman" w:hAnsi="Calibri" w:cs="Times New Roman"/>
          <w:color w:val="000000"/>
          <w:lang w:val="da-DK" w:eastAsia="en-GB"/>
        </w:rPr>
      </w:pPr>
      <w:r w:rsidRPr="00BD4F34">
        <w:rPr>
          <w:rFonts w:ascii="Calibri" w:eastAsia="Times New Roman" w:hAnsi="Calibri" w:cs="Arial"/>
          <w:color w:val="000000"/>
          <w:sz w:val="22"/>
          <w:szCs w:val="22"/>
          <w:bdr w:val="none" w:sz="0" w:space="0" w:color="auto" w:frame="1"/>
          <w:lang w:val="da-DK" w:eastAsia="en-GB"/>
        </w:rPr>
        <w:fldChar w:fldCharType="begin"/>
      </w:r>
      <w:r w:rsidRPr="00BD4F34">
        <w:rPr>
          <w:rFonts w:ascii="Calibri" w:eastAsia="Times New Roman" w:hAnsi="Calibri" w:cs="Arial"/>
          <w:color w:val="000000"/>
          <w:sz w:val="22"/>
          <w:szCs w:val="22"/>
          <w:bdr w:val="none" w:sz="0" w:space="0" w:color="auto" w:frame="1"/>
          <w:lang w:val="da-DK" w:eastAsia="en-GB"/>
        </w:rPr>
        <w:instrText xml:space="preserve"> INCLUDEPICTURE "https://lh4.googleusercontent.com/sA8AR4aLpb-q97IRv-FGvdXXOYRBqCUb0P2CUJmrqL-iZzfaIG-GRHJd9_8meZOvBdkimEcDSrqJBqTOZ9a-V6p8xwfsqnZV6Zf450GpKmz4FFRG6DQKVywDL02r_Q8ITNveeVtE" \* MERGEFORMATINET </w:instrText>
      </w:r>
      <w:r w:rsidRPr="00BD4F34">
        <w:rPr>
          <w:rFonts w:ascii="Calibri" w:eastAsia="Times New Roman" w:hAnsi="Calibri" w:cs="Arial"/>
          <w:color w:val="000000"/>
          <w:sz w:val="22"/>
          <w:szCs w:val="22"/>
          <w:bdr w:val="none" w:sz="0" w:space="0" w:color="auto" w:frame="1"/>
          <w:lang w:val="da-DK" w:eastAsia="en-GB"/>
        </w:rPr>
        <w:fldChar w:fldCharType="separate"/>
      </w:r>
      <w:r w:rsidRPr="00BD4F34">
        <w:rPr>
          <w:rFonts w:ascii="Calibri" w:eastAsia="Times New Roman" w:hAnsi="Calibri" w:cs="Arial"/>
          <w:noProof/>
          <w:color w:val="000000"/>
          <w:sz w:val="22"/>
          <w:szCs w:val="22"/>
          <w:bdr w:val="none" w:sz="0" w:space="0" w:color="auto" w:frame="1"/>
          <w:lang w:val="da-DK" w:eastAsia="en-GB"/>
        </w:rPr>
        <w:drawing>
          <wp:inline distT="0" distB="0" distL="0" distR="0" wp14:anchorId="2BCCEB8B" wp14:editId="0C53E65A">
            <wp:extent cx="5731510" cy="372237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2370"/>
                    </a:xfrm>
                    <a:prstGeom prst="rect">
                      <a:avLst/>
                    </a:prstGeom>
                    <a:noFill/>
                    <a:ln>
                      <a:noFill/>
                    </a:ln>
                  </pic:spPr>
                </pic:pic>
              </a:graphicData>
            </a:graphic>
          </wp:inline>
        </w:drawing>
      </w:r>
      <w:r w:rsidRPr="00BD4F34">
        <w:rPr>
          <w:rFonts w:ascii="Calibri" w:eastAsia="Times New Roman" w:hAnsi="Calibri" w:cs="Arial"/>
          <w:color w:val="000000"/>
          <w:sz w:val="22"/>
          <w:szCs w:val="22"/>
          <w:bdr w:val="none" w:sz="0" w:space="0" w:color="auto" w:frame="1"/>
          <w:lang w:val="da-DK" w:eastAsia="en-GB"/>
        </w:rPr>
        <w:fldChar w:fldCharType="end"/>
      </w:r>
    </w:p>
    <w:p w14:paraId="1186B11E" w14:textId="77777777" w:rsidR="00BC50D8" w:rsidRPr="00BD4F34" w:rsidRDefault="00BC50D8" w:rsidP="00BC50D8">
      <w:pPr>
        <w:spacing w:line="360" w:lineRule="auto"/>
        <w:rPr>
          <w:rFonts w:ascii="Calibri" w:eastAsia="Times New Roman" w:hAnsi="Calibri" w:cs="Times New Roman"/>
          <w:color w:val="000000"/>
          <w:lang w:val="da-DK" w:eastAsia="en-GB"/>
        </w:rPr>
      </w:pPr>
    </w:p>
    <w:p w14:paraId="77457CF9" w14:textId="77777777" w:rsidR="00BC50D8" w:rsidRPr="00BD4F34" w:rsidRDefault="00BC50D8" w:rsidP="00BC50D8">
      <w:pPr>
        <w:spacing w:line="360" w:lineRule="auto"/>
        <w:rPr>
          <w:rFonts w:ascii="Calibri" w:eastAsia="Times New Roman" w:hAnsi="Calibri" w:cs="Times New Roman"/>
          <w:color w:val="000000"/>
          <w:lang w:val="da-DK" w:eastAsia="en-GB"/>
        </w:rPr>
      </w:pPr>
      <w:r w:rsidRPr="00BD4F34">
        <w:rPr>
          <w:rFonts w:ascii="Calibri" w:eastAsia="Times New Roman" w:hAnsi="Calibri" w:cs="Arial"/>
          <w:color w:val="000000"/>
          <w:sz w:val="22"/>
          <w:szCs w:val="22"/>
          <w:lang w:val="da-DK" w:eastAsia="en-GB"/>
        </w:rPr>
        <w:t>e)</w:t>
      </w:r>
    </w:p>
    <w:p w14:paraId="3FD85BB0" w14:textId="1A16C379" w:rsidR="00BC50D8" w:rsidRPr="00BD4F34" w:rsidRDefault="00BC50D8" w:rsidP="00BC50D8">
      <w:pPr>
        <w:spacing w:line="360" w:lineRule="auto"/>
        <w:rPr>
          <w:rFonts w:ascii="Calibri" w:eastAsia="Times New Roman" w:hAnsi="Calibri" w:cs="Times New Roman"/>
          <w:color w:val="000000"/>
          <w:lang w:val="da-DK" w:eastAsia="en-GB"/>
        </w:rPr>
      </w:pPr>
      <w:r w:rsidRPr="00BD4F34">
        <w:rPr>
          <w:rFonts w:ascii="Calibri" w:eastAsia="Times New Roman" w:hAnsi="Calibri" w:cs="Arial"/>
          <w:color w:val="000000"/>
          <w:sz w:val="22"/>
          <w:szCs w:val="22"/>
          <w:lang w:val="da-DK" w:eastAsia="en-GB"/>
        </w:rPr>
        <w:t>Når vi betragter to alternative investeringer med forskellige levetid kan annuitetsværdien ikke bru</w:t>
      </w:r>
      <w:r w:rsidR="009B3046">
        <w:rPr>
          <w:rFonts w:ascii="Calibri" w:eastAsia="Times New Roman" w:hAnsi="Calibri" w:cs="Arial"/>
          <w:color w:val="000000"/>
          <w:sz w:val="22"/>
          <w:szCs w:val="22"/>
          <w:lang w:val="da-DK" w:eastAsia="en-GB"/>
        </w:rPr>
        <w:softHyphen/>
      </w:r>
      <w:r w:rsidRPr="00BD4F34">
        <w:rPr>
          <w:rFonts w:ascii="Calibri" w:eastAsia="Times New Roman" w:hAnsi="Calibri" w:cs="Arial"/>
          <w:color w:val="000000"/>
          <w:sz w:val="22"/>
          <w:szCs w:val="22"/>
          <w:lang w:val="da-DK" w:eastAsia="en-GB"/>
        </w:rPr>
        <w:t>ges som et kriterium til at udvælge den bedste investering. Ved antagelsen om mulig genanskaffelse vil levetiden kunne forlænges i det uendelige, hvorved opnås identisk levetid. Hermed kan formlen for annuitetsværdien bruges. Annuitetsformlen bruges til at omdanne kapitalværdien til en ækviva</w:t>
      </w:r>
      <w:r w:rsidR="009B3046">
        <w:rPr>
          <w:rFonts w:ascii="Calibri" w:eastAsia="Times New Roman" w:hAnsi="Calibri" w:cs="Arial"/>
          <w:color w:val="000000"/>
          <w:sz w:val="22"/>
          <w:szCs w:val="22"/>
          <w:lang w:val="da-DK" w:eastAsia="en-GB"/>
        </w:rPr>
        <w:softHyphen/>
      </w:r>
      <w:r w:rsidRPr="00BD4F34">
        <w:rPr>
          <w:rFonts w:ascii="Calibri" w:eastAsia="Times New Roman" w:hAnsi="Calibri" w:cs="Arial"/>
          <w:color w:val="000000"/>
          <w:sz w:val="22"/>
          <w:szCs w:val="22"/>
          <w:lang w:val="da-DK" w:eastAsia="en-GB"/>
        </w:rPr>
        <w:t>lent årlig betaling. </w:t>
      </w:r>
    </w:p>
    <w:p w14:paraId="4F9046D2" w14:textId="77777777" w:rsidR="00BC50D8" w:rsidRPr="00BD4F34" w:rsidRDefault="00BC50D8" w:rsidP="00BC50D8">
      <w:pPr>
        <w:spacing w:line="360" w:lineRule="auto"/>
        <w:rPr>
          <w:rFonts w:ascii="Calibri" w:eastAsia="Times New Roman" w:hAnsi="Calibri" w:cs="Arial"/>
          <w:color w:val="000000"/>
          <w:sz w:val="22"/>
          <w:szCs w:val="22"/>
          <w:lang w:val="da-DK" w:eastAsia="en-GB"/>
        </w:rPr>
      </w:pPr>
      <w:r w:rsidRPr="00BD4F34">
        <w:rPr>
          <w:rFonts w:ascii="Calibri" w:eastAsia="Times New Roman" w:hAnsi="Calibri" w:cs="Arial"/>
          <w:color w:val="000000"/>
          <w:sz w:val="22"/>
          <w:szCs w:val="22"/>
          <w:lang w:val="da-DK" w:eastAsia="en-GB"/>
        </w:rPr>
        <w:t xml:space="preserve">Annuitetsformlen: </w:t>
      </w:r>
    </w:p>
    <w:p w14:paraId="5AEE729A" w14:textId="7F03EF33" w:rsidR="00BC50D8" w:rsidRPr="00BC50D8" w:rsidRDefault="00BC50D8" w:rsidP="00BC50D8">
      <w:pPr>
        <w:spacing w:line="360" w:lineRule="auto"/>
        <w:rPr>
          <w:rFonts w:ascii="Arial" w:eastAsia="Times New Roman" w:hAnsi="Arial" w:cs="Arial"/>
          <w:color w:val="000000"/>
          <w:lang w:val="da-DK" w:eastAsia="en-GB"/>
        </w:rPr>
      </w:pPr>
      <m:oMathPara>
        <m:oMath>
          <m:r>
            <w:rPr>
              <w:rFonts w:ascii="Cambria Math" w:eastAsia="Times New Roman" w:hAnsi="Cambria Math" w:cs="Times New Roman"/>
              <w:color w:val="000000"/>
              <w:lang w:val="da-DK" w:eastAsia="en-GB"/>
            </w:rPr>
            <w:lastRenderedPageBreak/>
            <m:t>PV=</m:t>
          </m:r>
          <m:f>
            <m:fPr>
              <m:ctrlPr>
                <w:rPr>
                  <w:rFonts w:ascii="Cambria Math" w:eastAsia="Times New Roman" w:hAnsi="Cambria Math" w:cs="Times New Roman"/>
                  <w:i/>
                  <w:color w:val="000000"/>
                  <w:lang w:val="da-DK" w:eastAsia="en-GB"/>
                </w:rPr>
              </m:ctrlPr>
            </m:fPr>
            <m:num>
              <m:r>
                <w:rPr>
                  <w:rFonts w:ascii="Cambria Math" w:eastAsia="Times New Roman" w:hAnsi="Cambria Math" w:cs="Times New Roman"/>
                  <w:color w:val="000000"/>
                  <w:lang w:val="da-DK" w:eastAsia="en-GB"/>
                </w:rPr>
                <m:t>C</m:t>
              </m:r>
            </m:num>
            <m:den>
              <m:r>
                <w:rPr>
                  <w:rFonts w:ascii="Cambria Math" w:eastAsia="Times New Roman" w:hAnsi="Cambria Math" w:cs="Times New Roman"/>
                  <w:color w:val="000000"/>
                  <w:lang w:val="da-DK" w:eastAsia="en-GB"/>
                </w:rPr>
                <m:t>r</m:t>
              </m:r>
            </m:den>
          </m:f>
        </m:oMath>
      </m:oMathPara>
    </w:p>
    <w:p w14:paraId="08A771BB" w14:textId="77777777" w:rsidR="00BC50D8" w:rsidRPr="00BD4F34" w:rsidRDefault="00BC50D8" w:rsidP="00BC50D8">
      <w:pPr>
        <w:spacing w:line="360" w:lineRule="auto"/>
        <w:rPr>
          <w:rFonts w:ascii="Calibri" w:eastAsia="Times New Roman" w:hAnsi="Calibri" w:cs="Times New Roman"/>
          <w:color w:val="000000"/>
          <w:lang w:val="da-DK" w:eastAsia="en-GB"/>
        </w:rPr>
      </w:pPr>
      <w:r w:rsidRPr="00BD4F34">
        <w:rPr>
          <w:rFonts w:ascii="Calibri" w:eastAsia="Times New Roman" w:hAnsi="Calibri" w:cs="Arial"/>
          <w:color w:val="000000"/>
          <w:sz w:val="22"/>
          <w:szCs w:val="22"/>
          <w:lang w:val="da-DK" w:eastAsia="en-GB"/>
        </w:rPr>
        <w:t>Da kapitalomkostningen er den samme for begge investeringer vil den investering med den største årlige ækvivalente betaling, være den bedre investering. </w:t>
      </w:r>
    </w:p>
    <w:p w14:paraId="1AC2D40D" w14:textId="77777777" w:rsidR="00BC50D8" w:rsidRPr="00BD4F34" w:rsidRDefault="00BC50D8" w:rsidP="00BC50D8">
      <w:pPr>
        <w:spacing w:line="360" w:lineRule="auto"/>
        <w:rPr>
          <w:rFonts w:ascii="Calibri" w:eastAsia="Times New Roman" w:hAnsi="Calibri" w:cs="Times New Roman"/>
          <w:color w:val="000000"/>
          <w:lang w:val="da-DK" w:eastAsia="en-GB"/>
        </w:rPr>
      </w:pPr>
    </w:p>
    <w:p w14:paraId="3F4DA448" w14:textId="1B6F8F51" w:rsidR="00BC50D8" w:rsidRPr="00BD4F34" w:rsidRDefault="00BC50D8" w:rsidP="00BC50D8">
      <w:pPr>
        <w:spacing w:line="360" w:lineRule="auto"/>
        <w:rPr>
          <w:rFonts w:ascii="Calibri" w:eastAsia="Times New Roman" w:hAnsi="Calibri" w:cs="Times New Roman"/>
          <w:color w:val="000000"/>
          <w:lang w:val="da-DK" w:eastAsia="en-GB"/>
        </w:rPr>
      </w:pPr>
      <w:r w:rsidRPr="00BD4F34">
        <w:rPr>
          <w:rFonts w:ascii="Calibri" w:eastAsia="Times New Roman" w:hAnsi="Calibri" w:cs="Arial"/>
          <w:color w:val="000000"/>
          <w:sz w:val="22"/>
          <w:szCs w:val="22"/>
          <w:lang w:val="da-DK" w:eastAsia="en-GB"/>
        </w:rPr>
        <w:t>Virksomheden får en ny kontrakt med supermarkedet, hvilket bliver forlænget til uendeligt. Man har mulighed for uendelig genanskaffelse af de to anlæg, og man kender også leveti</w:t>
      </w:r>
      <w:r w:rsidRPr="00BD4F34">
        <w:rPr>
          <w:rFonts w:ascii="Calibri" w:eastAsia="Times New Roman" w:hAnsi="Calibri" w:cs="Arial"/>
          <w:color w:val="000000"/>
          <w:sz w:val="22"/>
          <w:szCs w:val="22"/>
          <w:lang w:val="da-DK" w:eastAsia="en-GB"/>
        </w:rPr>
        <w:softHyphen/>
        <w:t>den ved begge an</w:t>
      </w:r>
      <w:r w:rsidR="009B3046">
        <w:rPr>
          <w:rFonts w:ascii="Calibri" w:eastAsia="Times New Roman" w:hAnsi="Calibri" w:cs="Arial"/>
          <w:color w:val="000000"/>
          <w:sz w:val="22"/>
          <w:szCs w:val="22"/>
          <w:lang w:val="da-DK" w:eastAsia="en-GB"/>
        </w:rPr>
        <w:softHyphen/>
      </w:r>
      <w:r w:rsidRPr="00BD4F34">
        <w:rPr>
          <w:rFonts w:ascii="Calibri" w:eastAsia="Times New Roman" w:hAnsi="Calibri" w:cs="Arial"/>
          <w:color w:val="000000"/>
          <w:sz w:val="22"/>
          <w:szCs w:val="22"/>
          <w:lang w:val="da-DK" w:eastAsia="en-GB"/>
        </w:rPr>
        <w:t xml:space="preserve">læg, derfor bruger man annuitetsformlen. Denne formel giver </w:t>
      </w:r>
      <w:proofErr w:type="spellStart"/>
      <w:r w:rsidRPr="00BD4F34">
        <w:rPr>
          <w:rFonts w:ascii="Calibri" w:eastAsia="Times New Roman" w:hAnsi="Calibri" w:cs="Arial"/>
          <w:color w:val="000000"/>
          <w:sz w:val="22"/>
          <w:szCs w:val="22"/>
          <w:lang w:val="da-DK" w:eastAsia="en-GB"/>
        </w:rPr>
        <w:t>NPV’erne</w:t>
      </w:r>
      <w:proofErr w:type="spellEnd"/>
      <w:r w:rsidR="00BD4F34" w:rsidRPr="00BD4F34">
        <w:rPr>
          <w:rFonts w:ascii="Calibri" w:eastAsia="Times New Roman" w:hAnsi="Calibri" w:cs="Arial"/>
          <w:color w:val="000000"/>
          <w:sz w:val="22"/>
          <w:szCs w:val="22"/>
          <w:lang w:val="da-DK" w:eastAsia="en-GB"/>
        </w:rPr>
        <w:t xml:space="preserve"> jf. tabel 1</w:t>
      </w:r>
      <w:r w:rsidRPr="00BD4F34">
        <w:rPr>
          <w:rFonts w:ascii="Calibri" w:eastAsia="Times New Roman" w:hAnsi="Calibri" w:cs="Arial"/>
          <w:color w:val="000000"/>
          <w:sz w:val="22"/>
          <w:szCs w:val="22"/>
          <w:lang w:val="da-DK" w:eastAsia="en-GB"/>
        </w:rPr>
        <w:t>:</w:t>
      </w:r>
    </w:p>
    <w:p w14:paraId="20A4226B" w14:textId="77777777" w:rsidR="00BC50D8" w:rsidRPr="00BD4F34" w:rsidRDefault="00BC50D8" w:rsidP="00BC50D8">
      <w:pPr>
        <w:numPr>
          <w:ilvl w:val="0"/>
          <w:numId w:val="1"/>
        </w:numPr>
        <w:spacing w:line="360" w:lineRule="auto"/>
        <w:textAlignment w:val="baseline"/>
        <w:rPr>
          <w:rFonts w:ascii="Calibri" w:eastAsia="Times New Roman" w:hAnsi="Calibri" w:cs="Arial"/>
          <w:color w:val="000000"/>
          <w:sz w:val="22"/>
          <w:szCs w:val="22"/>
          <w:lang w:val="da-DK" w:eastAsia="en-GB"/>
        </w:rPr>
      </w:pPr>
      <w:r w:rsidRPr="00BD4F34">
        <w:rPr>
          <w:rFonts w:ascii="Calibri" w:eastAsia="Times New Roman" w:hAnsi="Calibri" w:cs="Arial"/>
          <w:color w:val="000000"/>
          <w:sz w:val="22"/>
          <w:szCs w:val="22"/>
          <w:lang w:val="da-DK" w:eastAsia="en-GB"/>
        </w:rPr>
        <w:t>Anlæg A: 34.512.888 DKK</w:t>
      </w:r>
    </w:p>
    <w:p w14:paraId="19EB7A16" w14:textId="77777777" w:rsidR="0019507C" w:rsidRDefault="00BC50D8" w:rsidP="00BC50D8">
      <w:pPr>
        <w:numPr>
          <w:ilvl w:val="0"/>
          <w:numId w:val="1"/>
        </w:numPr>
        <w:spacing w:line="360" w:lineRule="auto"/>
        <w:textAlignment w:val="baseline"/>
        <w:rPr>
          <w:rFonts w:ascii="Calibri" w:eastAsia="Times New Roman" w:hAnsi="Calibri" w:cs="Arial"/>
          <w:color w:val="000000"/>
          <w:sz w:val="22"/>
          <w:szCs w:val="22"/>
          <w:lang w:val="da-DK" w:eastAsia="en-GB"/>
        </w:rPr>
      </w:pPr>
      <w:r w:rsidRPr="00BD4F34">
        <w:rPr>
          <w:rFonts w:ascii="Calibri" w:eastAsia="Times New Roman" w:hAnsi="Calibri" w:cs="Arial"/>
          <w:color w:val="000000"/>
          <w:sz w:val="22"/>
          <w:szCs w:val="22"/>
          <w:lang w:val="da-DK" w:eastAsia="en-GB"/>
        </w:rPr>
        <w:t>Anlæg B: 29.549.826 DKK</w:t>
      </w:r>
    </w:p>
    <w:p w14:paraId="6725A693" w14:textId="4C0FEC5D" w:rsidR="00BC50D8" w:rsidRPr="0019507C" w:rsidRDefault="00BC50D8" w:rsidP="0019507C">
      <w:pPr>
        <w:spacing w:line="360" w:lineRule="auto"/>
        <w:textAlignment w:val="baseline"/>
        <w:rPr>
          <w:rFonts w:ascii="Calibri" w:eastAsia="Times New Roman" w:hAnsi="Calibri" w:cs="Arial"/>
          <w:color w:val="000000"/>
          <w:sz w:val="22"/>
          <w:szCs w:val="22"/>
          <w:lang w:val="da-DK" w:eastAsia="en-GB"/>
        </w:rPr>
      </w:pPr>
      <w:r w:rsidRPr="0019507C">
        <w:rPr>
          <w:rFonts w:ascii="Calibri" w:eastAsia="Times New Roman" w:hAnsi="Calibri" w:cs="Arial"/>
          <w:color w:val="000000"/>
          <w:sz w:val="22"/>
          <w:szCs w:val="22"/>
          <w:lang w:val="da-DK" w:eastAsia="en-GB"/>
        </w:rPr>
        <w:t>Altså burde virksomheden fortsat foretrække anlæg A.</w:t>
      </w:r>
    </w:p>
    <w:p w14:paraId="0D6BE457" w14:textId="77777777" w:rsidR="0019507C" w:rsidRDefault="0019507C" w:rsidP="00BC50D8">
      <w:pPr>
        <w:spacing w:line="360" w:lineRule="auto"/>
        <w:rPr>
          <w:rFonts w:ascii="Calibri" w:eastAsia="Times New Roman" w:hAnsi="Calibri" w:cs="Times New Roman"/>
          <w:color w:val="000000"/>
          <w:lang w:val="da-DK" w:eastAsia="en-GB"/>
        </w:rPr>
      </w:pPr>
    </w:p>
    <w:p w14:paraId="09C9CB07" w14:textId="79B770B6" w:rsidR="00BC50D8" w:rsidRPr="00BD4F34" w:rsidRDefault="00BC50D8" w:rsidP="00BC50D8">
      <w:pPr>
        <w:spacing w:line="360" w:lineRule="auto"/>
        <w:rPr>
          <w:rFonts w:ascii="Calibri" w:eastAsia="Times New Roman" w:hAnsi="Calibri" w:cs="Times New Roman"/>
          <w:color w:val="000000"/>
          <w:lang w:val="da-DK" w:eastAsia="en-GB"/>
        </w:rPr>
      </w:pPr>
      <w:r w:rsidRPr="00BD4F34">
        <w:rPr>
          <w:rFonts w:ascii="Calibri" w:eastAsia="Times New Roman" w:hAnsi="Calibri" w:cs="Arial"/>
          <w:b/>
          <w:bCs/>
          <w:color w:val="000000"/>
          <w:sz w:val="28"/>
          <w:szCs w:val="28"/>
          <w:lang w:val="da-DK" w:eastAsia="en-GB"/>
        </w:rPr>
        <w:t>Opgave 2</w:t>
      </w:r>
    </w:p>
    <w:p w14:paraId="56B6194A" w14:textId="77777777" w:rsidR="00297538" w:rsidRDefault="00BC50D8" w:rsidP="00297538">
      <w:pPr>
        <w:spacing w:before="240" w:after="240" w:line="360" w:lineRule="auto"/>
        <w:textAlignment w:val="baseline"/>
        <w:rPr>
          <w:rFonts w:ascii="Calibri" w:eastAsia="Times New Roman" w:hAnsi="Calibri" w:cs="Arial"/>
          <w:color w:val="000000"/>
          <w:sz w:val="22"/>
          <w:szCs w:val="22"/>
          <w:lang w:val="da-DK" w:eastAsia="en-GB"/>
        </w:rPr>
      </w:pPr>
      <w:r w:rsidRPr="00BD4F34">
        <w:rPr>
          <w:rFonts w:ascii="Calibri" w:eastAsia="Times New Roman" w:hAnsi="Calibri" w:cs="Arial"/>
          <w:color w:val="000000"/>
          <w:sz w:val="22"/>
          <w:szCs w:val="22"/>
          <w:lang w:val="da-DK" w:eastAsia="en-GB"/>
        </w:rPr>
        <w:t>a</w:t>
      </w:r>
      <w:r w:rsidR="00297538">
        <w:rPr>
          <w:rFonts w:ascii="Calibri" w:eastAsia="Times New Roman" w:hAnsi="Calibri" w:cs="Arial"/>
          <w:color w:val="000000"/>
          <w:sz w:val="22"/>
          <w:szCs w:val="22"/>
          <w:lang w:val="da-DK" w:eastAsia="en-GB"/>
        </w:rPr>
        <w:t>)</w:t>
      </w:r>
    </w:p>
    <w:p w14:paraId="198DEC79" w14:textId="5C662C15" w:rsidR="00BC50D8" w:rsidRPr="00297538" w:rsidRDefault="00BC50D8" w:rsidP="00297538">
      <w:pPr>
        <w:spacing w:before="240" w:after="240" w:line="360" w:lineRule="auto"/>
        <w:textAlignment w:val="baseline"/>
        <w:rPr>
          <w:rFonts w:ascii="Calibri" w:eastAsia="Times New Roman" w:hAnsi="Calibri" w:cs="Arial"/>
          <w:color w:val="000000"/>
          <w:sz w:val="22"/>
          <w:szCs w:val="22"/>
          <w:lang w:val="da-DK" w:eastAsia="en-GB"/>
        </w:rPr>
      </w:pPr>
      <w:r w:rsidRPr="00BD4F34">
        <w:rPr>
          <w:rFonts w:ascii="Calibri" w:eastAsia="Times New Roman" w:hAnsi="Calibri" w:cs="Times New Roman"/>
          <w:color w:val="000000"/>
          <w:sz w:val="22"/>
          <w:szCs w:val="22"/>
          <w:lang w:val="da-DK" w:eastAsia="en-GB"/>
        </w:rPr>
        <w:t>Maskinens optimale levetid er 6 år med en nutidsværdi på 3.347.476 kr. Det følgende år  overstiger driftsudgifterne maskinens indtægter, hvilket resulterer i et negativt bidrag fra nettobetalingsstrøm</w:t>
      </w:r>
      <w:r w:rsidR="009B3046">
        <w:rPr>
          <w:rFonts w:ascii="Calibri" w:eastAsia="Times New Roman" w:hAnsi="Calibri" w:cs="Times New Roman"/>
          <w:color w:val="000000"/>
          <w:sz w:val="22"/>
          <w:szCs w:val="22"/>
          <w:lang w:val="da-DK" w:eastAsia="en-GB"/>
        </w:rPr>
        <w:softHyphen/>
      </w:r>
      <w:r w:rsidRPr="00BD4F34">
        <w:rPr>
          <w:rFonts w:ascii="Calibri" w:eastAsia="Times New Roman" w:hAnsi="Calibri" w:cs="Times New Roman"/>
          <w:color w:val="000000"/>
          <w:sz w:val="22"/>
          <w:szCs w:val="22"/>
          <w:lang w:val="da-DK" w:eastAsia="en-GB"/>
        </w:rPr>
        <w:t>men og dermed et fald i nettonutidsværdien. En optimal levetid på 6 år betyder, virksomheden skal stoppe investeringsprojektet her, da virksomheden herefter kun vil forringe værdien af investerin</w:t>
      </w:r>
      <w:r w:rsidR="009B3046">
        <w:rPr>
          <w:rFonts w:ascii="Calibri" w:eastAsia="Times New Roman" w:hAnsi="Calibri" w:cs="Times New Roman"/>
          <w:color w:val="000000"/>
          <w:sz w:val="22"/>
          <w:szCs w:val="22"/>
          <w:lang w:val="da-DK" w:eastAsia="en-GB"/>
        </w:rPr>
        <w:softHyphen/>
      </w:r>
      <w:r w:rsidRPr="00BD4F34">
        <w:rPr>
          <w:rFonts w:ascii="Calibri" w:eastAsia="Times New Roman" w:hAnsi="Calibri" w:cs="Times New Roman"/>
          <w:color w:val="000000"/>
          <w:sz w:val="22"/>
          <w:szCs w:val="22"/>
          <w:lang w:val="da-DK" w:eastAsia="en-GB"/>
        </w:rPr>
        <w:t>gen, hvis virksomheden fortsætter projektet. Ved afskaffelse af investeringen i år 6 maksimerer virk</w:t>
      </w:r>
      <w:r w:rsidR="009B3046">
        <w:rPr>
          <w:rFonts w:ascii="Calibri" w:eastAsia="Times New Roman" w:hAnsi="Calibri" w:cs="Times New Roman"/>
          <w:color w:val="000000"/>
          <w:sz w:val="22"/>
          <w:szCs w:val="22"/>
          <w:lang w:val="da-DK" w:eastAsia="en-GB"/>
        </w:rPr>
        <w:softHyphen/>
      </w:r>
      <w:r w:rsidRPr="00BD4F34">
        <w:rPr>
          <w:rFonts w:ascii="Calibri" w:eastAsia="Times New Roman" w:hAnsi="Calibri" w:cs="Times New Roman"/>
          <w:color w:val="000000"/>
          <w:sz w:val="22"/>
          <w:szCs w:val="22"/>
          <w:lang w:val="da-DK" w:eastAsia="en-GB"/>
        </w:rPr>
        <w:t>somheden deres profit.</w:t>
      </w:r>
    </w:p>
    <w:p w14:paraId="3BBAB4C9" w14:textId="6B2FA1FD" w:rsidR="00BD4F34" w:rsidRPr="00BD4F34" w:rsidRDefault="00BD4F34" w:rsidP="00BC50D8">
      <w:pPr>
        <w:spacing w:before="240" w:after="240" w:line="360" w:lineRule="auto"/>
        <w:rPr>
          <w:rFonts w:ascii="Calibri" w:eastAsia="Times New Roman" w:hAnsi="Calibri" w:cs="Times New Roman"/>
          <w:color w:val="000000"/>
          <w:lang w:val="da-DK" w:eastAsia="en-GB"/>
        </w:rPr>
      </w:pPr>
      <w:r w:rsidRPr="00BD4F34">
        <w:rPr>
          <w:rFonts w:ascii="Calibri" w:eastAsia="Times New Roman" w:hAnsi="Calibri" w:cs="Times New Roman"/>
          <w:color w:val="000000"/>
          <w:sz w:val="22"/>
          <w:szCs w:val="22"/>
          <w:lang w:val="da-DK" w:eastAsia="en-GB"/>
        </w:rPr>
        <w:t xml:space="preserve">Tabel 3 </w:t>
      </w:r>
    </w:p>
    <w:p w14:paraId="767C0B44" w14:textId="717D4459" w:rsidR="00BC50D8" w:rsidRPr="00BD4F34" w:rsidRDefault="00BC50D8" w:rsidP="00BC50D8">
      <w:pPr>
        <w:spacing w:before="240" w:after="240" w:line="360" w:lineRule="auto"/>
        <w:rPr>
          <w:rFonts w:ascii="Calibri" w:eastAsia="Times New Roman" w:hAnsi="Calibri" w:cs="Times New Roman"/>
          <w:color w:val="000000"/>
          <w:lang w:val="da-DK" w:eastAsia="en-GB"/>
        </w:rPr>
      </w:pPr>
      <w:r w:rsidRPr="00BD4F34">
        <w:rPr>
          <w:rFonts w:ascii="Calibri" w:eastAsia="Times New Roman" w:hAnsi="Calibri" w:cs="Times New Roman"/>
          <w:b/>
          <w:bCs/>
          <w:color w:val="000000"/>
          <w:sz w:val="22"/>
          <w:szCs w:val="22"/>
          <w:bdr w:val="none" w:sz="0" w:space="0" w:color="auto" w:frame="1"/>
          <w:lang w:val="da-DK" w:eastAsia="en-GB"/>
        </w:rPr>
        <w:fldChar w:fldCharType="begin"/>
      </w:r>
      <w:r w:rsidRPr="00BD4F34">
        <w:rPr>
          <w:rFonts w:ascii="Calibri" w:eastAsia="Times New Roman" w:hAnsi="Calibri" w:cs="Times New Roman"/>
          <w:b/>
          <w:bCs/>
          <w:color w:val="000000"/>
          <w:sz w:val="22"/>
          <w:szCs w:val="22"/>
          <w:bdr w:val="none" w:sz="0" w:space="0" w:color="auto" w:frame="1"/>
          <w:lang w:val="da-DK" w:eastAsia="en-GB"/>
        </w:rPr>
        <w:instrText xml:space="preserve"> INCLUDEPICTURE "https://lh4.googleusercontent.com/Br6TNy8WcqZ5clYplWaTbgx106YGq_I-Up3H4dsp3-e-fhnatfNMCO76de-K0aeCYQyffv7chQjvvd_-gUcRztD9Z-huli6bxCrwSD8bb0fpYCDTJpxyFQ6yDZTw4QVsMa6Q80lQ" \* MERGEFORMATINET </w:instrText>
      </w:r>
      <w:r w:rsidRPr="00BD4F34">
        <w:rPr>
          <w:rFonts w:ascii="Calibri" w:eastAsia="Times New Roman" w:hAnsi="Calibri" w:cs="Times New Roman"/>
          <w:b/>
          <w:bCs/>
          <w:color w:val="000000"/>
          <w:sz w:val="22"/>
          <w:szCs w:val="22"/>
          <w:bdr w:val="none" w:sz="0" w:space="0" w:color="auto" w:frame="1"/>
          <w:lang w:val="da-DK" w:eastAsia="en-GB"/>
        </w:rPr>
        <w:fldChar w:fldCharType="separate"/>
      </w:r>
      <w:r w:rsidRPr="00BD4F34">
        <w:rPr>
          <w:rFonts w:ascii="Calibri" w:eastAsia="Times New Roman" w:hAnsi="Calibri" w:cs="Times New Roman"/>
          <w:b/>
          <w:bCs/>
          <w:noProof/>
          <w:color w:val="000000"/>
          <w:sz w:val="22"/>
          <w:szCs w:val="22"/>
          <w:bdr w:val="none" w:sz="0" w:space="0" w:color="auto" w:frame="1"/>
          <w:lang w:val="da-DK" w:eastAsia="en-GB"/>
        </w:rPr>
        <w:drawing>
          <wp:inline distT="0" distB="0" distL="0" distR="0" wp14:anchorId="6F750D1C" wp14:editId="032D074A">
            <wp:extent cx="5731510" cy="109474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94740"/>
                    </a:xfrm>
                    <a:prstGeom prst="rect">
                      <a:avLst/>
                    </a:prstGeom>
                    <a:noFill/>
                    <a:ln>
                      <a:noFill/>
                    </a:ln>
                  </pic:spPr>
                </pic:pic>
              </a:graphicData>
            </a:graphic>
          </wp:inline>
        </w:drawing>
      </w:r>
      <w:r w:rsidRPr="00BD4F34">
        <w:rPr>
          <w:rFonts w:ascii="Calibri" w:eastAsia="Times New Roman" w:hAnsi="Calibri" w:cs="Times New Roman"/>
          <w:b/>
          <w:bCs/>
          <w:color w:val="000000"/>
          <w:sz w:val="22"/>
          <w:szCs w:val="22"/>
          <w:bdr w:val="none" w:sz="0" w:space="0" w:color="auto" w:frame="1"/>
          <w:lang w:val="da-DK" w:eastAsia="en-GB"/>
        </w:rPr>
        <w:fldChar w:fldCharType="end"/>
      </w:r>
    </w:p>
    <w:p w14:paraId="1CCCAF7A" w14:textId="20E11B3F" w:rsidR="00BC50D8" w:rsidRPr="00BD4F34" w:rsidRDefault="00BC50D8" w:rsidP="00BC50D8">
      <w:pPr>
        <w:spacing w:line="360" w:lineRule="auto"/>
        <w:rPr>
          <w:rFonts w:ascii="Calibri" w:eastAsia="Times New Roman" w:hAnsi="Calibri" w:cs="Arial"/>
          <w:color w:val="000000"/>
          <w:sz w:val="22"/>
          <w:szCs w:val="22"/>
          <w:lang w:val="da-DK" w:eastAsia="en-GB"/>
        </w:rPr>
      </w:pPr>
      <w:r w:rsidRPr="00BD4F34">
        <w:rPr>
          <w:rFonts w:ascii="Calibri" w:eastAsia="Times New Roman" w:hAnsi="Calibri" w:cs="Arial"/>
          <w:color w:val="000000"/>
          <w:sz w:val="22"/>
          <w:szCs w:val="22"/>
          <w:lang w:val="da-DK" w:eastAsia="en-GB"/>
        </w:rPr>
        <w:t>b)</w:t>
      </w:r>
    </w:p>
    <w:p w14:paraId="33EF2CA6" w14:textId="247C6563" w:rsidR="00BC50D8" w:rsidRPr="00BD4F34" w:rsidRDefault="00BC50D8" w:rsidP="00BC50D8">
      <w:pPr>
        <w:spacing w:line="360" w:lineRule="auto"/>
        <w:rPr>
          <w:rFonts w:ascii="Calibri" w:eastAsia="Times New Roman" w:hAnsi="Calibri" w:cs="Arial"/>
          <w:color w:val="000000"/>
          <w:sz w:val="22"/>
          <w:szCs w:val="22"/>
          <w:lang w:val="da-DK" w:eastAsia="en-GB"/>
        </w:rPr>
      </w:pPr>
      <w:r w:rsidRPr="00BD4F34">
        <w:rPr>
          <w:rFonts w:ascii="Calibri" w:eastAsia="Times New Roman" w:hAnsi="Calibri" w:cs="Arial"/>
          <w:color w:val="000000"/>
          <w:sz w:val="22"/>
          <w:szCs w:val="22"/>
          <w:lang w:val="da-DK" w:eastAsia="en-GB"/>
        </w:rPr>
        <w:t>Ved antagelsen om genanskaffelse et uendeligt antal gange, vil det optimale være at ud</w:t>
      </w:r>
      <w:r w:rsidRPr="00BD4F34">
        <w:rPr>
          <w:rFonts w:ascii="Calibri" w:eastAsia="Times New Roman" w:hAnsi="Calibri" w:cs="Arial"/>
          <w:color w:val="000000"/>
          <w:sz w:val="22"/>
          <w:szCs w:val="22"/>
          <w:lang w:val="da-DK" w:eastAsia="en-GB"/>
        </w:rPr>
        <w:softHyphen/>
        <w:t>skifte maski</w:t>
      </w:r>
      <w:r w:rsidR="009B3046">
        <w:rPr>
          <w:rFonts w:ascii="Calibri" w:eastAsia="Times New Roman" w:hAnsi="Calibri" w:cs="Arial"/>
          <w:color w:val="000000"/>
          <w:sz w:val="22"/>
          <w:szCs w:val="22"/>
          <w:lang w:val="da-DK" w:eastAsia="en-GB"/>
        </w:rPr>
        <w:softHyphen/>
      </w:r>
      <w:r w:rsidRPr="00BD4F34">
        <w:rPr>
          <w:rFonts w:ascii="Calibri" w:eastAsia="Times New Roman" w:hAnsi="Calibri" w:cs="Arial"/>
          <w:color w:val="000000"/>
          <w:sz w:val="22"/>
          <w:szCs w:val="22"/>
          <w:lang w:val="da-DK" w:eastAsia="en-GB"/>
        </w:rPr>
        <w:t>nen hvert femte år, idet betalingsstrømmen gennemsnitligt vil være højest ved dette interval. Dette er et år mindre end førnævnte. Det er på baggrund af en højere annui</w:t>
      </w:r>
      <w:r w:rsidRPr="00BD4F34">
        <w:rPr>
          <w:rFonts w:ascii="Calibri" w:eastAsia="Times New Roman" w:hAnsi="Calibri" w:cs="Arial"/>
          <w:color w:val="000000"/>
          <w:sz w:val="22"/>
          <w:szCs w:val="22"/>
          <w:lang w:val="da-DK" w:eastAsia="en-GB"/>
        </w:rPr>
        <w:softHyphen/>
        <w:t>tetsværdi i år 5 på end år 6. </w:t>
      </w:r>
    </w:p>
    <w:p w14:paraId="5B1268B5" w14:textId="77777777" w:rsidR="00BC50D8" w:rsidRPr="00BD4F34" w:rsidRDefault="00BC50D8" w:rsidP="00BC50D8">
      <w:pPr>
        <w:spacing w:line="360" w:lineRule="auto"/>
        <w:rPr>
          <w:rFonts w:ascii="Calibri" w:eastAsia="Times New Roman" w:hAnsi="Calibri" w:cs="Times New Roman"/>
          <w:color w:val="000000"/>
          <w:lang w:val="da-DK" w:eastAsia="en-GB"/>
        </w:rPr>
      </w:pPr>
    </w:p>
    <w:p w14:paraId="708F850C" w14:textId="23EB9C8A" w:rsidR="00BC50D8" w:rsidRPr="00297538" w:rsidRDefault="00BC50D8" w:rsidP="00BC50D8">
      <w:pPr>
        <w:spacing w:line="360" w:lineRule="auto"/>
        <w:rPr>
          <w:rFonts w:ascii="Calibri" w:eastAsia="Times New Roman" w:hAnsi="Calibri" w:cs="Times New Roman"/>
          <w:color w:val="000000"/>
          <w:lang w:val="da-DK" w:eastAsia="en-GB"/>
        </w:rPr>
      </w:pPr>
      <w:r w:rsidRPr="00BD4F34">
        <w:rPr>
          <w:rFonts w:ascii="Calibri" w:eastAsia="Times New Roman" w:hAnsi="Calibri" w:cs="Times New Roman"/>
          <w:color w:val="000000"/>
          <w:lang w:val="da-DK" w:eastAsia="en-GB"/>
        </w:rPr>
        <w:lastRenderedPageBreak/>
        <w:t>c)</w:t>
      </w:r>
      <w:r w:rsidRPr="00BD4F34">
        <w:rPr>
          <w:rFonts w:ascii="Calibri" w:eastAsia="Times New Roman" w:hAnsi="Calibri" w:cs="Times New Roman"/>
          <w:color w:val="000000"/>
          <w:lang w:val="da-DK" w:eastAsia="en-GB"/>
        </w:rPr>
        <w:br/>
      </w:r>
      <w:r w:rsidRPr="00BD4F34">
        <w:rPr>
          <w:rFonts w:ascii="Calibri" w:eastAsia="Times New Roman" w:hAnsi="Calibri" w:cs="Arial"/>
          <w:color w:val="000000"/>
          <w:sz w:val="22"/>
          <w:szCs w:val="22"/>
          <w:lang w:val="da-DK" w:eastAsia="en-GB"/>
        </w:rPr>
        <w:t xml:space="preserve">Vha. funktionen </w:t>
      </w:r>
      <w:proofErr w:type="spellStart"/>
      <w:r w:rsidRPr="00BD4F34">
        <w:rPr>
          <w:rFonts w:ascii="Calibri" w:eastAsia="Times New Roman" w:hAnsi="Calibri" w:cs="Arial"/>
          <w:color w:val="000000"/>
          <w:sz w:val="22"/>
          <w:szCs w:val="22"/>
          <w:lang w:val="da-DK" w:eastAsia="en-GB"/>
        </w:rPr>
        <w:t>Goal-seek</w:t>
      </w:r>
      <w:proofErr w:type="spellEnd"/>
      <w:r w:rsidRPr="00BD4F34">
        <w:rPr>
          <w:rFonts w:ascii="Calibri" w:eastAsia="Times New Roman" w:hAnsi="Calibri" w:cs="Arial"/>
          <w:color w:val="000000"/>
          <w:sz w:val="22"/>
          <w:szCs w:val="22"/>
          <w:lang w:val="da-DK" w:eastAsia="en-GB"/>
        </w:rPr>
        <w:t xml:space="preserve"> findes stigningen kapitalomkostningen skal have for at forlænge anlæg</w:t>
      </w:r>
      <w:r w:rsidR="009B3046">
        <w:rPr>
          <w:rFonts w:ascii="Calibri" w:eastAsia="Times New Roman" w:hAnsi="Calibri" w:cs="Arial"/>
          <w:color w:val="000000"/>
          <w:sz w:val="22"/>
          <w:szCs w:val="22"/>
          <w:lang w:val="da-DK" w:eastAsia="en-GB"/>
        </w:rPr>
        <w:softHyphen/>
      </w:r>
      <w:r w:rsidRPr="00BD4F34">
        <w:rPr>
          <w:rFonts w:ascii="Calibri" w:eastAsia="Times New Roman" w:hAnsi="Calibri" w:cs="Arial"/>
          <w:color w:val="000000"/>
          <w:sz w:val="22"/>
          <w:szCs w:val="22"/>
          <w:lang w:val="da-DK" w:eastAsia="en-GB"/>
        </w:rPr>
        <w:t>gets optimale levetid. Kapitalomkostningen er udregnet til ca. 27%, og derfor en stig</w:t>
      </w:r>
      <w:r w:rsidRPr="00BD4F34">
        <w:rPr>
          <w:rFonts w:ascii="Calibri" w:eastAsia="Times New Roman" w:hAnsi="Calibri" w:cs="Arial"/>
          <w:color w:val="000000"/>
          <w:sz w:val="22"/>
          <w:szCs w:val="22"/>
          <w:lang w:val="da-DK" w:eastAsia="en-GB"/>
        </w:rPr>
        <w:softHyphen/>
        <w:t>ning på 17% ift. til de 10%. Ved en højere diskonteringsrente vil annuitetsværdien dog for</w:t>
      </w:r>
      <w:r w:rsidRPr="00BD4F34">
        <w:rPr>
          <w:rFonts w:ascii="Calibri" w:eastAsia="Times New Roman" w:hAnsi="Calibri" w:cs="Arial"/>
          <w:color w:val="000000"/>
          <w:sz w:val="22"/>
          <w:szCs w:val="22"/>
          <w:lang w:val="da-DK" w:eastAsia="en-GB"/>
        </w:rPr>
        <w:softHyphen/>
        <w:t xml:space="preserve">mindskes. Formlen for </w:t>
      </w:r>
      <w:proofErr w:type="spellStart"/>
      <w:r w:rsidRPr="00BD4F34">
        <w:rPr>
          <w:rFonts w:ascii="Calibri" w:eastAsia="Times New Roman" w:hAnsi="Calibri" w:cs="Arial"/>
          <w:color w:val="000000"/>
          <w:sz w:val="22"/>
          <w:szCs w:val="22"/>
          <w:lang w:val="da-DK" w:eastAsia="en-GB"/>
        </w:rPr>
        <w:t>an</w:t>
      </w:r>
      <w:r w:rsidR="009B3046">
        <w:rPr>
          <w:rFonts w:ascii="Calibri" w:eastAsia="Times New Roman" w:hAnsi="Calibri" w:cs="Arial"/>
          <w:color w:val="000000"/>
          <w:sz w:val="22"/>
          <w:szCs w:val="22"/>
          <w:lang w:val="da-DK" w:eastAsia="en-GB"/>
        </w:rPr>
        <w:softHyphen/>
      </w:r>
      <w:r w:rsidRPr="00BD4F34">
        <w:rPr>
          <w:rFonts w:ascii="Calibri" w:eastAsia="Times New Roman" w:hAnsi="Calibri" w:cs="Arial"/>
          <w:color w:val="000000"/>
          <w:sz w:val="22"/>
          <w:szCs w:val="22"/>
          <w:lang w:val="da-DK" w:eastAsia="en-GB"/>
        </w:rPr>
        <w:t>nutitetsværdien</w:t>
      </w:r>
      <w:proofErr w:type="spellEnd"/>
      <w:r w:rsidRPr="00BD4F34">
        <w:rPr>
          <w:rFonts w:ascii="Calibri" w:eastAsia="Times New Roman" w:hAnsi="Calibri" w:cs="Arial"/>
          <w:color w:val="000000"/>
          <w:sz w:val="22"/>
          <w:szCs w:val="22"/>
          <w:lang w:val="da-DK" w:eastAsia="en-GB"/>
        </w:rPr>
        <w:t xml:space="preserve"> viser, at fastholdes </w:t>
      </w:r>
      <w:proofErr w:type="spellStart"/>
      <w:r w:rsidRPr="00BD4F34">
        <w:rPr>
          <w:rFonts w:ascii="Calibri" w:eastAsia="Times New Roman" w:hAnsi="Calibri" w:cs="Arial"/>
          <w:i/>
          <w:iCs/>
          <w:color w:val="000000"/>
          <w:sz w:val="22"/>
          <w:szCs w:val="22"/>
          <w:lang w:val="da-DK" w:eastAsia="en-GB"/>
        </w:rPr>
        <w:t>cash</w:t>
      </w:r>
      <w:proofErr w:type="spellEnd"/>
      <w:r w:rsidRPr="00BD4F34">
        <w:rPr>
          <w:rFonts w:ascii="Calibri" w:eastAsia="Times New Roman" w:hAnsi="Calibri" w:cs="Arial"/>
          <w:i/>
          <w:iCs/>
          <w:color w:val="000000"/>
          <w:sz w:val="22"/>
          <w:szCs w:val="22"/>
          <w:lang w:val="da-DK" w:eastAsia="en-GB"/>
        </w:rPr>
        <w:t xml:space="preserve">-flows, </w:t>
      </w:r>
      <w:r w:rsidRPr="00BD4F34">
        <w:rPr>
          <w:rFonts w:ascii="Calibri" w:eastAsia="Times New Roman" w:hAnsi="Calibri" w:cs="Arial"/>
          <w:color w:val="000000"/>
          <w:sz w:val="22"/>
          <w:szCs w:val="22"/>
          <w:lang w:val="da-DK" w:eastAsia="en-GB"/>
        </w:rPr>
        <w:t xml:space="preserve">mens rente stiger, vil, alt andet lige, nutidsværdien blive mindre. </w:t>
      </w:r>
    </w:p>
    <w:p w14:paraId="46B8513A" w14:textId="656ACEDB" w:rsidR="00BC50D8" w:rsidRPr="00BD4F34" w:rsidRDefault="00BC50D8" w:rsidP="00BC50D8">
      <w:pPr>
        <w:spacing w:line="360" w:lineRule="auto"/>
        <w:rPr>
          <w:rFonts w:ascii="Calibri" w:eastAsia="Times New Roman" w:hAnsi="Calibri" w:cs="Arial"/>
          <w:color w:val="000000"/>
          <w:sz w:val="22"/>
          <w:szCs w:val="22"/>
          <w:lang w:val="da-DK" w:eastAsia="en-GB"/>
        </w:rPr>
      </w:pPr>
      <w:r w:rsidRPr="00BD4F34">
        <w:rPr>
          <w:rFonts w:ascii="Calibri" w:eastAsia="Times New Roman" w:hAnsi="Calibri" w:cs="Arial"/>
          <w:color w:val="000000"/>
          <w:sz w:val="22"/>
          <w:szCs w:val="22"/>
          <w:lang w:val="da-DK" w:eastAsia="en-GB"/>
        </w:rPr>
        <w:t xml:space="preserve">Annuitetsformlen: </w:t>
      </w:r>
    </w:p>
    <w:p w14:paraId="4D8E9361" w14:textId="5BFA6B88" w:rsidR="00BC50D8" w:rsidRPr="00BC50D8" w:rsidRDefault="00BC50D8" w:rsidP="00BC50D8">
      <w:pPr>
        <w:spacing w:line="360" w:lineRule="auto"/>
        <w:rPr>
          <w:rFonts w:ascii="Times New Roman" w:eastAsia="Times New Roman" w:hAnsi="Times New Roman" w:cs="Times New Roman"/>
          <w:color w:val="000000"/>
          <w:lang w:val="da-DK" w:eastAsia="en-GB"/>
        </w:rPr>
      </w:pPr>
      <m:oMathPara>
        <m:oMath>
          <m:r>
            <w:rPr>
              <w:rFonts w:ascii="Cambria Math" w:eastAsia="Times New Roman" w:hAnsi="Cambria Math" w:cs="Times New Roman"/>
              <w:color w:val="000000"/>
              <w:lang w:val="da-DK" w:eastAsia="en-GB"/>
            </w:rPr>
            <m:t>PV=</m:t>
          </m:r>
          <m:f>
            <m:fPr>
              <m:ctrlPr>
                <w:rPr>
                  <w:rFonts w:ascii="Cambria Math" w:eastAsia="Times New Roman" w:hAnsi="Cambria Math" w:cs="Times New Roman"/>
                  <w:i/>
                  <w:color w:val="000000"/>
                  <w:lang w:val="da-DK" w:eastAsia="en-GB"/>
                </w:rPr>
              </m:ctrlPr>
            </m:fPr>
            <m:num>
              <m:r>
                <w:rPr>
                  <w:rFonts w:ascii="Cambria Math" w:eastAsia="Times New Roman" w:hAnsi="Cambria Math" w:cs="Times New Roman"/>
                  <w:color w:val="000000"/>
                  <w:lang w:val="da-DK" w:eastAsia="en-GB"/>
                </w:rPr>
                <m:t>C</m:t>
              </m:r>
            </m:num>
            <m:den>
              <m:r>
                <w:rPr>
                  <w:rFonts w:ascii="Cambria Math" w:eastAsia="Times New Roman" w:hAnsi="Cambria Math" w:cs="Times New Roman"/>
                  <w:color w:val="000000"/>
                  <w:lang w:val="da-DK" w:eastAsia="en-GB"/>
                </w:rPr>
                <m:t>r</m:t>
              </m:r>
            </m:den>
          </m:f>
        </m:oMath>
      </m:oMathPara>
    </w:p>
    <w:p w14:paraId="46446BBA" w14:textId="082767AE" w:rsidR="00BC50D8" w:rsidRDefault="00BC50D8" w:rsidP="007D3BFB">
      <w:pPr>
        <w:rPr>
          <w:lang w:val="da-DK"/>
        </w:rPr>
      </w:pPr>
    </w:p>
    <w:p w14:paraId="78E0E672" w14:textId="5A673B04" w:rsidR="009B3046" w:rsidRPr="00BC50D8" w:rsidRDefault="009B3046" w:rsidP="007D3BFB">
      <w:pPr>
        <w:rPr>
          <w:lang w:val="da-DK"/>
        </w:rPr>
      </w:pPr>
    </w:p>
    <w:sectPr w:rsidR="009B3046" w:rsidRPr="00BC50D8">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2800B" w14:textId="77777777" w:rsidR="000D1F84" w:rsidRDefault="000D1F84" w:rsidP="00BD4F34">
      <w:r>
        <w:separator/>
      </w:r>
    </w:p>
  </w:endnote>
  <w:endnote w:type="continuationSeparator" w:id="0">
    <w:p w14:paraId="1833B3FF" w14:textId="77777777" w:rsidR="000D1F84" w:rsidRDefault="000D1F84" w:rsidP="00BD4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2964288"/>
      <w:docPartObj>
        <w:docPartGallery w:val="Page Numbers (Bottom of Page)"/>
        <w:docPartUnique/>
      </w:docPartObj>
    </w:sdtPr>
    <w:sdtContent>
      <w:p w14:paraId="70892BF4" w14:textId="0D67BE90" w:rsidR="00BD4F34" w:rsidRDefault="00BD4F34" w:rsidP="006410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EC504" w14:textId="77777777" w:rsidR="00BD4F34" w:rsidRDefault="00BD4F34" w:rsidP="00BD4F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2502855"/>
      <w:docPartObj>
        <w:docPartGallery w:val="Page Numbers (Bottom of Page)"/>
        <w:docPartUnique/>
      </w:docPartObj>
    </w:sdtPr>
    <w:sdtContent>
      <w:p w14:paraId="20687CCF" w14:textId="0D16D4A5" w:rsidR="00BD4F34" w:rsidRDefault="00BD4F34" w:rsidP="006410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C51FFA" w14:textId="77777777" w:rsidR="00BD4F34" w:rsidRDefault="00BD4F34" w:rsidP="00BD4F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6ADA5" w14:textId="77777777" w:rsidR="000D1F84" w:rsidRDefault="000D1F84" w:rsidP="00BD4F34">
      <w:r>
        <w:separator/>
      </w:r>
    </w:p>
  </w:footnote>
  <w:footnote w:type="continuationSeparator" w:id="0">
    <w:p w14:paraId="7229437B" w14:textId="77777777" w:rsidR="000D1F84" w:rsidRDefault="000D1F84" w:rsidP="00BD4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7B4F" w14:textId="08A60545" w:rsidR="00BD4F34" w:rsidRPr="00BD4F34" w:rsidRDefault="00BD4F34">
    <w:pPr>
      <w:pStyle w:val="Header"/>
      <w:rPr>
        <w:lang w:val="da-DK"/>
      </w:rPr>
    </w:pPr>
    <w:r w:rsidRPr="00BD4F34">
      <w:rPr>
        <w:lang w:val="da-DK"/>
      </w:rPr>
      <w:t xml:space="preserve">Emil Erbas, Emil Rasmussen, </w:t>
    </w:r>
    <w:r w:rsidRPr="00BD4F34">
      <w:rPr>
        <w:lang w:val="da-DK"/>
      </w:rPr>
      <w:tab/>
    </w:r>
    <w:r>
      <w:rPr>
        <w:lang w:val="da-DK"/>
      </w:rPr>
      <w:t>Københavns Universitet</w:t>
    </w:r>
    <w:r w:rsidRPr="00BD4F34">
      <w:rPr>
        <w:lang w:val="da-DK"/>
      </w:rPr>
      <w:tab/>
    </w:r>
    <w:r>
      <w:rPr>
        <w:lang w:val="da-DK"/>
      </w:rPr>
      <w:t>Dato:</w:t>
    </w:r>
  </w:p>
  <w:p w14:paraId="5D08DD58" w14:textId="22509662" w:rsidR="00BD4F34" w:rsidRDefault="00BD4F34">
    <w:pPr>
      <w:pStyle w:val="Header"/>
      <w:rPr>
        <w:lang w:val="da-DK"/>
      </w:rPr>
    </w:pPr>
    <w:r w:rsidRPr="00BD4F34">
      <w:rPr>
        <w:lang w:val="da-DK"/>
      </w:rPr>
      <w:t>Asger Damgaard-Sørensen o</w:t>
    </w:r>
    <w:r>
      <w:rPr>
        <w:lang w:val="da-DK"/>
      </w:rPr>
      <w:t>g</w:t>
    </w:r>
    <w:r>
      <w:rPr>
        <w:lang w:val="da-DK"/>
      </w:rPr>
      <w:tab/>
      <w:t>Erhvervsøkonomi</w:t>
    </w:r>
    <w:r>
      <w:rPr>
        <w:lang w:val="da-DK"/>
      </w:rPr>
      <w:tab/>
      <w:t>09-04-21</w:t>
    </w:r>
  </w:p>
  <w:p w14:paraId="09187BFF" w14:textId="10CFB71D" w:rsidR="00BD4F34" w:rsidRPr="00BD4F34" w:rsidRDefault="00BD4F34">
    <w:pPr>
      <w:pStyle w:val="Header"/>
      <w:rPr>
        <w:lang w:val="da-DK"/>
      </w:rPr>
    </w:pPr>
    <w:r>
      <w:rPr>
        <w:lang w:val="da-DK"/>
      </w:rPr>
      <w:t xml:space="preserve">Jeppe </w:t>
    </w:r>
    <w:proofErr w:type="spellStart"/>
    <w:r>
      <w:rPr>
        <w:lang w:val="da-DK"/>
      </w:rPr>
      <w:t>Vanderhaegen</w:t>
    </w:r>
    <w:proofErr w:type="spellEnd"/>
    <w:r>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D00E0"/>
    <w:multiLevelType w:val="multilevel"/>
    <w:tmpl w:val="6AD4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D1758"/>
    <w:multiLevelType w:val="hybridMultilevel"/>
    <w:tmpl w:val="A16C248C"/>
    <w:lvl w:ilvl="0" w:tplc="5F78FE0C">
      <w:start w:val="2"/>
      <w:numFmt w:val="lowerLetter"/>
      <w:lvlText w:val="%1."/>
      <w:lvlJc w:val="left"/>
      <w:pPr>
        <w:tabs>
          <w:tab w:val="num" w:pos="720"/>
        </w:tabs>
        <w:ind w:left="720" w:hanging="360"/>
      </w:pPr>
    </w:lvl>
    <w:lvl w:ilvl="1" w:tplc="97E81EB2" w:tentative="1">
      <w:start w:val="1"/>
      <w:numFmt w:val="decimal"/>
      <w:lvlText w:val="%2."/>
      <w:lvlJc w:val="left"/>
      <w:pPr>
        <w:tabs>
          <w:tab w:val="num" w:pos="1440"/>
        </w:tabs>
        <w:ind w:left="1440" w:hanging="360"/>
      </w:pPr>
    </w:lvl>
    <w:lvl w:ilvl="2" w:tplc="EABCB970" w:tentative="1">
      <w:start w:val="1"/>
      <w:numFmt w:val="decimal"/>
      <w:lvlText w:val="%3."/>
      <w:lvlJc w:val="left"/>
      <w:pPr>
        <w:tabs>
          <w:tab w:val="num" w:pos="2160"/>
        </w:tabs>
        <w:ind w:left="2160" w:hanging="360"/>
      </w:pPr>
    </w:lvl>
    <w:lvl w:ilvl="3" w:tplc="B5FC0578" w:tentative="1">
      <w:start w:val="1"/>
      <w:numFmt w:val="decimal"/>
      <w:lvlText w:val="%4."/>
      <w:lvlJc w:val="left"/>
      <w:pPr>
        <w:tabs>
          <w:tab w:val="num" w:pos="2880"/>
        </w:tabs>
        <w:ind w:left="2880" w:hanging="360"/>
      </w:pPr>
    </w:lvl>
    <w:lvl w:ilvl="4" w:tplc="2694710A" w:tentative="1">
      <w:start w:val="1"/>
      <w:numFmt w:val="decimal"/>
      <w:lvlText w:val="%5."/>
      <w:lvlJc w:val="left"/>
      <w:pPr>
        <w:tabs>
          <w:tab w:val="num" w:pos="3600"/>
        </w:tabs>
        <w:ind w:left="3600" w:hanging="360"/>
      </w:pPr>
    </w:lvl>
    <w:lvl w:ilvl="5" w:tplc="F81038A0" w:tentative="1">
      <w:start w:val="1"/>
      <w:numFmt w:val="decimal"/>
      <w:lvlText w:val="%6."/>
      <w:lvlJc w:val="left"/>
      <w:pPr>
        <w:tabs>
          <w:tab w:val="num" w:pos="4320"/>
        </w:tabs>
        <w:ind w:left="4320" w:hanging="360"/>
      </w:pPr>
    </w:lvl>
    <w:lvl w:ilvl="6" w:tplc="A3B84D98" w:tentative="1">
      <w:start w:val="1"/>
      <w:numFmt w:val="decimal"/>
      <w:lvlText w:val="%7."/>
      <w:lvlJc w:val="left"/>
      <w:pPr>
        <w:tabs>
          <w:tab w:val="num" w:pos="5040"/>
        </w:tabs>
        <w:ind w:left="5040" w:hanging="360"/>
      </w:pPr>
    </w:lvl>
    <w:lvl w:ilvl="7" w:tplc="49D4B530" w:tentative="1">
      <w:start w:val="1"/>
      <w:numFmt w:val="decimal"/>
      <w:lvlText w:val="%8."/>
      <w:lvlJc w:val="left"/>
      <w:pPr>
        <w:tabs>
          <w:tab w:val="num" w:pos="5760"/>
        </w:tabs>
        <w:ind w:left="5760" w:hanging="360"/>
      </w:pPr>
    </w:lvl>
    <w:lvl w:ilvl="8" w:tplc="75A47630" w:tentative="1">
      <w:start w:val="1"/>
      <w:numFmt w:val="decimal"/>
      <w:lvlText w:val="%9."/>
      <w:lvlJc w:val="left"/>
      <w:pPr>
        <w:tabs>
          <w:tab w:val="num" w:pos="6480"/>
        </w:tabs>
        <w:ind w:left="6480" w:hanging="360"/>
      </w:pPr>
    </w:lvl>
  </w:abstractNum>
  <w:abstractNum w:abstractNumId="2" w15:restartNumberingAfterBreak="0">
    <w:nsid w:val="3EC729B7"/>
    <w:multiLevelType w:val="hybridMultilevel"/>
    <w:tmpl w:val="1CBA950C"/>
    <w:lvl w:ilvl="0" w:tplc="7B0E3388">
      <w:start w:val="3"/>
      <w:numFmt w:val="lowerLetter"/>
      <w:lvlText w:val="%1."/>
      <w:lvlJc w:val="left"/>
      <w:pPr>
        <w:tabs>
          <w:tab w:val="num" w:pos="720"/>
        </w:tabs>
        <w:ind w:left="720" w:hanging="360"/>
      </w:pPr>
    </w:lvl>
    <w:lvl w:ilvl="1" w:tplc="48F449CC" w:tentative="1">
      <w:start w:val="1"/>
      <w:numFmt w:val="decimal"/>
      <w:lvlText w:val="%2."/>
      <w:lvlJc w:val="left"/>
      <w:pPr>
        <w:tabs>
          <w:tab w:val="num" w:pos="1440"/>
        </w:tabs>
        <w:ind w:left="1440" w:hanging="360"/>
      </w:pPr>
    </w:lvl>
    <w:lvl w:ilvl="2" w:tplc="988A5AFA" w:tentative="1">
      <w:start w:val="1"/>
      <w:numFmt w:val="decimal"/>
      <w:lvlText w:val="%3."/>
      <w:lvlJc w:val="left"/>
      <w:pPr>
        <w:tabs>
          <w:tab w:val="num" w:pos="2160"/>
        </w:tabs>
        <w:ind w:left="2160" w:hanging="360"/>
      </w:pPr>
    </w:lvl>
    <w:lvl w:ilvl="3" w:tplc="912252E6" w:tentative="1">
      <w:start w:val="1"/>
      <w:numFmt w:val="decimal"/>
      <w:lvlText w:val="%4."/>
      <w:lvlJc w:val="left"/>
      <w:pPr>
        <w:tabs>
          <w:tab w:val="num" w:pos="2880"/>
        </w:tabs>
        <w:ind w:left="2880" w:hanging="360"/>
      </w:pPr>
    </w:lvl>
    <w:lvl w:ilvl="4" w:tplc="BE86904E" w:tentative="1">
      <w:start w:val="1"/>
      <w:numFmt w:val="decimal"/>
      <w:lvlText w:val="%5."/>
      <w:lvlJc w:val="left"/>
      <w:pPr>
        <w:tabs>
          <w:tab w:val="num" w:pos="3600"/>
        </w:tabs>
        <w:ind w:left="3600" w:hanging="360"/>
      </w:pPr>
    </w:lvl>
    <w:lvl w:ilvl="5" w:tplc="6AA0FEA0" w:tentative="1">
      <w:start w:val="1"/>
      <w:numFmt w:val="decimal"/>
      <w:lvlText w:val="%6."/>
      <w:lvlJc w:val="left"/>
      <w:pPr>
        <w:tabs>
          <w:tab w:val="num" w:pos="4320"/>
        </w:tabs>
        <w:ind w:left="4320" w:hanging="360"/>
      </w:pPr>
    </w:lvl>
    <w:lvl w:ilvl="6" w:tplc="C298B1C0" w:tentative="1">
      <w:start w:val="1"/>
      <w:numFmt w:val="decimal"/>
      <w:lvlText w:val="%7."/>
      <w:lvlJc w:val="left"/>
      <w:pPr>
        <w:tabs>
          <w:tab w:val="num" w:pos="5040"/>
        </w:tabs>
        <w:ind w:left="5040" w:hanging="360"/>
      </w:pPr>
    </w:lvl>
    <w:lvl w:ilvl="7" w:tplc="A47C9F02" w:tentative="1">
      <w:start w:val="1"/>
      <w:numFmt w:val="decimal"/>
      <w:lvlText w:val="%8."/>
      <w:lvlJc w:val="left"/>
      <w:pPr>
        <w:tabs>
          <w:tab w:val="num" w:pos="5760"/>
        </w:tabs>
        <w:ind w:left="5760" w:hanging="360"/>
      </w:pPr>
    </w:lvl>
    <w:lvl w:ilvl="8" w:tplc="C0BC8710" w:tentative="1">
      <w:start w:val="1"/>
      <w:numFmt w:val="decimal"/>
      <w:lvlText w:val="%9."/>
      <w:lvlJc w:val="left"/>
      <w:pPr>
        <w:tabs>
          <w:tab w:val="num" w:pos="6480"/>
        </w:tabs>
        <w:ind w:left="6480" w:hanging="360"/>
      </w:pPr>
    </w:lvl>
  </w:abstractNum>
  <w:abstractNum w:abstractNumId="3" w15:restartNumberingAfterBreak="0">
    <w:nsid w:val="55CF2D83"/>
    <w:multiLevelType w:val="multilevel"/>
    <w:tmpl w:val="8B42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lowerLetter"/>
        <w:lvlText w:val="%1."/>
        <w:lvlJc w:val="left"/>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D8"/>
    <w:rsid w:val="000A62EF"/>
    <w:rsid w:val="000D1F84"/>
    <w:rsid w:val="0019507C"/>
    <w:rsid w:val="00297538"/>
    <w:rsid w:val="00447D82"/>
    <w:rsid w:val="005F6DEC"/>
    <w:rsid w:val="007D3BFB"/>
    <w:rsid w:val="009B3046"/>
    <w:rsid w:val="00BC50D8"/>
    <w:rsid w:val="00BD4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AA961E"/>
  <w15:chartTrackingRefBased/>
  <w15:docId w15:val="{E1CFDC8F-FE6B-8B48-92FF-4713888F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0D8"/>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BC50D8"/>
    <w:rPr>
      <w:color w:val="808080"/>
    </w:rPr>
  </w:style>
  <w:style w:type="paragraph" w:styleId="Header">
    <w:name w:val="header"/>
    <w:basedOn w:val="Normal"/>
    <w:link w:val="HeaderChar"/>
    <w:uiPriority w:val="99"/>
    <w:unhideWhenUsed/>
    <w:rsid w:val="00BD4F34"/>
    <w:pPr>
      <w:tabs>
        <w:tab w:val="center" w:pos="4513"/>
        <w:tab w:val="right" w:pos="9026"/>
      </w:tabs>
    </w:pPr>
  </w:style>
  <w:style w:type="character" w:customStyle="1" w:styleId="HeaderChar">
    <w:name w:val="Header Char"/>
    <w:basedOn w:val="DefaultParagraphFont"/>
    <w:link w:val="Header"/>
    <w:uiPriority w:val="99"/>
    <w:rsid w:val="00BD4F34"/>
  </w:style>
  <w:style w:type="paragraph" w:styleId="Footer">
    <w:name w:val="footer"/>
    <w:basedOn w:val="Normal"/>
    <w:link w:val="FooterChar"/>
    <w:uiPriority w:val="99"/>
    <w:unhideWhenUsed/>
    <w:rsid w:val="00BD4F34"/>
    <w:pPr>
      <w:tabs>
        <w:tab w:val="center" w:pos="4513"/>
        <w:tab w:val="right" w:pos="9026"/>
      </w:tabs>
    </w:pPr>
  </w:style>
  <w:style w:type="character" w:customStyle="1" w:styleId="FooterChar">
    <w:name w:val="Footer Char"/>
    <w:basedOn w:val="DefaultParagraphFont"/>
    <w:link w:val="Footer"/>
    <w:uiPriority w:val="99"/>
    <w:rsid w:val="00BD4F34"/>
  </w:style>
  <w:style w:type="character" w:styleId="PageNumber">
    <w:name w:val="page number"/>
    <w:basedOn w:val="DefaultParagraphFont"/>
    <w:uiPriority w:val="99"/>
    <w:semiHidden/>
    <w:unhideWhenUsed/>
    <w:rsid w:val="00BD4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1048</Words>
  <Characters>5902</Characters>
  <Application>Microsoft Office Word</Application>
  <DocSecurity>0</DocSecurity>
  <Lines>105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7</cp:revision>
  <cp:lastPrinted>2021-04-03T16:01:00Z</cp:lastPrinted>
  <dcterms:created xsi:type="dcterms:W3CDTF">2021-04-03T16:01:00Z</dcterms:created>
  <dcterms:modified xsi:type="dcterms:W3CDTF">2021-04-07T18:46:00Z</dcterms:modified>
</cp:coreProperties>
</file>