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069E9" w14:textId="006B8900" w:rsidR="00B0683F" w:rsidRPr="00BA274B" w:rsidRDefault="00B0683F" w:rsidP="00B0683F">
      <w:pPr>
        <w:jc w:val="center"/>
        <w:rPr>
          <w:sz w:val="36"/>
          <w:szCs w:val="36"/>
          <w:lang w:val="da-DK"/>
        </w:rPr>
      </w:pPr>
      <w:r w:rsidRPr="00BA274B">
        <w:rPr>
          <w:sz w:val="32"/>
          <w:szCs w:val="32"/>
          <w:lang w:val="da-DK"/>
        </w:rPr>
        <w:t>H</w:t>
      </w:r>
      <w:r w:rsidRPr="00BA274B">
        <w:rPr>
          <w:sz w:val="36"/>
          <w:szCs w:val="36"/>
          <w:lang w:val="da-DK"/>
        </w:rPr>
        <w:t>jemmeopgave 3</w:t>
      </w:r>
    </w:p>
    <w:p w14:paraId="38738391" w14:textId="428B1EDA" w:rsidR="00B0683F" w:rsidRPr="00BA274B" w:rsidRDefault="00B0683F" w:rsidP="00B0683F">
      <w:pPr>
        <w:rPr>
          <w:lang w:val="da-DK"/>
        </w:rPr>
      </w:pPr>
    </w:p>
    <w:p w14:paraId="6E2B79F1" w14:textId="28282101" w:rsidR="00B0683F" w:rsidRPr="00BA274B" w:rsidRDefault="00B0683F" w:rsidP="00B0683F">
      <w:pPr>
        <w:rPr>
          <w:lang w:val="da-DK"/>
        </w:rPr>
      </w:pPr>
      <w:r w:rsidRPr="00BA274B">
        <w:rPr>
          <w:b/>
          <w:bCs/>
          <w:lang w:val="da-DK"/>
        </w:rPr>
        <w:t>1.1</w:t>
      </w:r>
      <w:r w:rsidRPr="00BA274B">
        <w:rPr>
          <w:lang w:val="da-DK"/>
        </w:rPr>
        <w:t xml:space="preserve"> </w:t>
      </w:r>
    </w:p>
    <w:p w14:paraId="10E10CE5" w14:textId="05B5251F" w:rsidR="00B0683F" w:rsidRPr="00BA274B" w:rsidRDefault="00B0683F" w:rsidP="00B0683F">
      <w:pPr>
        <w:rPr>
          <w:lang w:val="da-DK"/>
        </w:rPr>
      </w:pPr>
      <w:r w:rsidRPr="00BA274B">
        <w:rPr>
          <w:lang w:val="da-DK"/>
        </w:rPr>
        <w:t xml:space="preserve">Ligningen for sammenhængen mellem hovedstol, kurs og provenu kan opstilles på følgende måde. </w:t>
      </w:r>
    </w:p>
    <w:p w14:paraId="4D418E9B" w14:textId="7DA15FD6" w:rsidR="00B0683F" w:rsidRPr="00BA274B" w:rsidRDefault="00B0683F" w:rsidP="00B0683F">
      <w:pPr>
        <w:rPr>
          <w:rFonts w:eastAsiaTheme="minorEastAsia"/>
          <w:lang w:val="da-DK"/>
        </w:rPr>
      </w:pPr>
      <m:oMathPara>
        <m:oMath>
          <m:r>
            <w:rPr>
              <w:rFonts w:ascii="Cambria Math" w:hAnsi="Cambria Math"/>
              <w:lang w:val="da-DK"/>
            </w:rPr>
            <m:t>P=Hovedstol-Kurstab-Gebyr</m:t>
          </m:r>
          <m:r>
            <m:rPr>
              <m:sty m:val="p"/>
            </m:rPr>
            <w:rPr>
              <w:rFonts w:ascii="Cambria Math" w:hAnsi="Cambria Math"/>
              <w:lang w:val="da-DK"/>
            </w:rPr>
            <w:br/>
          </m:r>
        </m:oMath>
        <m:oMath>
          <m:r>
            <w:rPr>
              <w:rFonts w:ascii="Cambria Math" w:hAnsi="Cambria Math"/>
              <w:lang w:val="da-DK"/>
            </w:rPr>
            <m:t>P=Hovedstol-</m:t>
          </m:r>
          <m:f>
            <m:fPr>
              <m:ctrlPr>
                <w:rPr>
                  <w:rFonts w:ascii="Cambria Math" w:hAnsi="Cambria Math"/>
                  <w:i/>
                  <w:lang w:val="da-DK"/>
                </w:rPr>
              </m:ctrlPr>
            </m:fPr>
            <m:num>
              <m:r>
                <w:rPr>
                  <w:rFonts w:ascii="Cambria Math" w:hAnsi="Cambria Math"/>
                  <w:lang w:val="da-DK"/>
                </w:rPr>
                <m:t>100-kurs</m:t>
              </m:r>
            </m:num>
            <m:den>
              <m:r>
                <w:rPr>
                  <w:rFonts w:ascii="Cambria Math" w:hAnsi="Cambria Math"/>
                  <w:lang w:val="da-DK"/>
                </w:rPr>
                <m:t>100</m:t>
              </m:r>
            </m:den>
          </m:f>
          <m:r>
            <w:rPr>
              <w:rFonts w:ascii="Cambria Math" w:hAnsi="Cambria Math"/>
              <w:lang w:val="da-DK"/>
            </w:rPr>
            <m:t>·Hovedstol-0,035·Hovedstol</m:t>
          </m:r>
          <m:r>
            <m:rPr>
              <m:sty m:val="p"/>
            </m:rPr>
            <w:rPr>
              <w:rFonts w:ascii="Cambria Math" w:hAnsi="Cambria Math"/>
              <w:lang w:val="da-DK"/>
            </w:rPr>
            <w:br/>
          </m:r>
        </m:oMath>
        <m:oMath>
          <m:r>
            <w:rPr>
              <w:rFonts w:ascii="Cambria Math" w:hAnsi="Cambria Math"/>
              <w:lang w:val="da-DK"/>
            </w:rPr>
            <m:t>P=Hovedstol·(1-</m:t>
          </m:r>
          <m:f>
            <m:fPr>
              <m:ctrlPr>
                <w:rPr>
                  <w:rFonts w:ascii="Cambria Math" w:hAnsi="Cambria Math"/>
                  <w:i/>
                  <w:lang w:val="da-DK"/>
                </w:rPr>
              </m:ctrlPr>
            </m:fPr>
            <m:num>
              <m:r>
                <w:rPr>
                  <w:rFonts w:ascii="Cambria Math" w:hAnsi="Cambria Math"/>
                  <w:lang w:val="da-DK"/>
                </w:rPr>
                <m:t>100-kurs</m:t>
              </m:r>
            </m:num>
            <m:den>
              <m:r>
                <w:rPr>
                  <w:rFonts w:ascii="Cambria Math" w:hAnsi="Cambria Math"/>
                  <w:lang w:val="da-DK"/>
                </w:rPr>
                <m:t>100</m:t>
              </m:r>
            </m:den>
          </m:f>
          <m:r>
            <w:rPr>
              <w:rFonts w:ascii="Cambria Math" w:hAnsi="Cambria Math"/>
              <w:lang w:val="da-DK"/>
            </w:rPr>
            <m:t>·1-0,035·1</m:t>
          </m:r>
          <m:r>
            <m:rPr>
              <m:sty m:val="p"/>
            </m:rPr>
            <w:rPr>
              <w:rFonts w:ascii="Cambria Math" w:hAnsi="Cambria Math"/>
              <w:lang w:val="da-DK"/>
            </w:rPr>
            <w:br/>
          </m:r>
        </m:oMath>
        <m:oMath>
          <m:r>
            <w:rPr>
              <w:rFonts w:ascii="Cambria Math" w:eastAsiaTheme="minorEastAsia" w:hAnsi="Cambria Math"/>
              <w:lang w:val="da-DK"/>
            </w:rPr>
            <m:t>Hovedstol=</m:t>
          </m:r>
          <m:f>
            <m:fPr>
              <m:ctrlPr>
                <w:rPr>
                  <w:rFonts w:ascii="Cambria Math" w:eastAsiaTheme="minorEastAsia" w:hAnsi="Cambria Math"/>
                  <w:i/>
                  <w:lang w:val="da-DK"/>
                </w:rPr>
              </m:ctrlPr>
            </m:fPr>
            <m:num>
              <m:r>
                <w:rPr>
                  <w:rFonts w:ascii="Cambria Math" w:eastAsiaTheme="minorEastAsia" w:hAnsi="Cambria Math"/>
                  <w:lang w:val="da-DK"/>
                </w:rPr>
                <m:t>Provenu</m:t>
              </m:r>
            </m:num>
            <m:den>
              <m:r>
                <w:rPr>
                  <w:rFonts w:ascii="Cambria Math" w:eastAsiaTheme="minorEastAsia" w:hAnsi="Cambria Math"/>
                  <w:lang w:val="da-DK"/>
                </w:rPr>
                <m:t>1-</m:t>
              </m:r>
              <m:f>
                <m:fPr>
                  <m:ctrlPr>
                    <w:rPr>
                      <w:rFonts w:ascii="Cambria Math" w:eastAsiaTheme="minorEastAsia" w:hAnsi="Cambria Math"/>
                      <w:i/>
                      <w:lang w:val="da-DK"/>
                    </w:rPr>
                  </m:ctrlPr>
                </m:fPr>
                <m:num>
                  <m:r>
                    <w:rPr>
                      <w:rFonts w:ascii="Cambria Math" w:eastAsiaTheme="minorEastAsia" w:hAnsi="Cambria Math"/>
                      <w:lang w:val="da-DK"/>
                    </w:rPr>
                    <m:t>100-kurs</m:t>
                  </m:r>
                </m:num>
                <m:den>
                  <m:r>
                    <w:rPr>
                      <w:rFonts w:ascii="Cambria Math" w:eastAsiaTheme="minorEastAsia" w:hAnsi="Cambria Math"/>
                      <w:lang w:val="da-DK"/>
                    </w:rPr>
                    <m:t>100</m:t>
                  </m:r>
                </m:den>
              </m:f>
              <m:r>
                <w:rPr>
                  <w:rFonts w:ascii="Cambria Math" w:eastAsiaTheme="minorEastAsia" w:hAnsi="Cambria Math"/>
                  <w:lang w:val="da-DK"/>
                </w:rPr>
                <m:t>·1-0,0,35·1</m:t>
              </m:r>
            </m:den>
          </m:f>
          <m:r>
            <m:rPr>
              <m:sty m:val="p"/>
            </m:rPr>
            <w:rPr>
              <w:rFonts w:ascii="Cambria Math" w:eastAsiaTheme="minorEastAsia" w:hAnsi="Cambria Math"/>
              <w:lang w:val="da-DK"/>
            </w:rPr>
            <w:br/>
          </m:r>
        </m:oMath>
        <m:oMath>
          <m:r>
            <w:rPr>
              <w:rFonts w:ascii="Cambria Math" w:eastAsiaTheme="minorEastAsia" w:hAnsi="Cambria Math"/>
              <w:lang w:val="da-DK"/>
            </w:rPr>
            <m:t>Hovedstol=</m:t>
          </m:r>
          <m:f>
            <m:fPr>
              <m:ctrlPr>
                <w:rPr>
                  <w:rFonts w:ascii="Cambria Math" w:eastAsiaTheme="minorEastAsia" w:hAnsi="Cambria Math"/>
                  <w:i/>
                  <w:lang w:val="da-DK"/>
                </w:rPr>
              </m:ctrlPr>
            </m:fPr>
            <m:num>
              <m:r>
                <w:rPr>
                  <w:rFonts w:ascii="Cambria Math" w:eastAsiaTheme="minorEastAsia" w:hAnsi="Cambria Math"/>
                  <w:lang w:val="da-DK"/>
                </w:rPr>
                <m:t>7.500.000</m:t>
              </m:r>
            </m:num>
            <m:den>
              <m:r>
                <w:rPr>
                  <w:rFonts w:ascii="Cambria Math" w:eastAsiaTheme="minorEastAsia" w:hAnsi="Cambria Math"/>
                  <w:lang w:val="da-DK"/>
                </w:rPr>
                <m:t>1-</m:t>
              </m:r>
              <m:f>
                <m:fPr>
                  <m:ctrlPr>
                    <w:rPr>
                      <w:rFonts w:ascii="Cambria Math" w:eastAsiaTheme="minorEastAsia" w:hAnsi="Cambria Math"/>
                      <w:i/>
                      <w:lang w:val="da-DK"/>
                    </w:rPr>
                  </m:ctrlPr>
                </m:fPr>
                <m:num>
                  <m:r>
                    <w:rPr>
                      <w:rFonts w:ascii="Cambria Math" w:eastAsiaTheme="minorEastAsia" w:hAnsi="Cambria Math"/>
                      <w:lang w:val="da-DK"/>
                    </w:rPr>
                    <m:t>100-94</m:t>
                  </m:r>
                </m:num>
                <m:den>
                  <m:r>
                    <w:rPr>
                      <w:rFonts w:ascii="Cambria Math" w:eastAsiaTheme="minorEastAsia" w:hAnsi="Cambria Math"/>
                      <w:lang w:val="da-DK"/>
                    </w:rPr>
                    <m:t>100</m:t>
                  </m:r>
                </m:den>
              </m:f>
              <m:r>
                <w:rPr>
                  <w:rFonts w:ascii="Cambria Math" w:eastAsiaTheme="minorEastAsia" w:hAnsi="Cambria Math"/>
                  <w:lang w:val="da-DK"/>
                </w:rPr>
                <m:t>·1-0,0,35·1</m:t>
              </m:r>
            </m:den>
          </m:f>
          <m:r>
            <m:rPr>
              <m:sty m:val="p"/>
            </m:rPr>
            <w:rPr>
              <w:rFonts w:ascii="Cambria Math" w:eastAsiaTheme="minorEastAsia" w:hAnsi="Cambria Math"/>
              <w:lang w:val="da-DK"/>
            </w:rPr>
            <w:br/>
          </m:r>
        </m:oMath>
        <m:oMath>
          <m:r>
            <w:rPr>
              <w:rFonts w:ascii="Cambria Math" w:eastAsiaTheme="minorEastAsia" w:hAnsi="Cambria Math"/>
              <w:lang w:val="da-DK"/>
            </w:rPr>
            <m:t>Hovedstol=8.287.293</m:t>
          </m:r>
        </m:oMath>
      </m:oMathPara>
    </w:p>
    <w:p w14:paraId="32E67D32" w14:textId="4F5DA2BB" w:rsidR="00B0683F" w:rsidRPr="00BA274B" w:rsidRDefault="00B0683F" w:rsidP="00B0683F">
      <w:pPr>
        <w:rPr>
          <w:rFonts w:eastAsiaTheme="minorEastAsia"/>
          <w:lang w:val="da-DK"/>
        </w:rPr>
      </w:pPr>
    </w:p>
    <w:p w14:paraId="30E465AD" w14:textId="69BD24C2" w:rsidR="008C55AD" w:rsidRPr="00BA274B" w:rsidRDefault="00B0683F" w:rsidP="00B0683F">
      <w:pPr>
        <w:rPr>
          <w:rFonts w:eastAsiaTheme="minorEastAsia"/>
          <w:lang w:val="da-DK"/>
        </w:rPr>
      </w:pPr>
      <w:r w:rsidRPr="00BA274B">
        <w:rPr>
          <w:rFonts w:eastAsiaTheme="minorEastAsia"/>
          <w:lang w:val="da-DK"/>
        </w:rPr>
        <w:t xml:space="preserve">Hvis virksomheden skal </w:t>
      </w:r>
      <w:r w:rsidR="008C55AD" w:rsidRPr="00BA274B">
        <w:rPr>
          <w:rFonts w:eastAsiaTheme="minorEastAsia"/>
          <w:lang w:val="da-DK"/>
        </w:rPr>
        <w:t xml:space="preserve">låne 7.500.000 kroner ved kurs 94, skal virksomheden samlet set tilbagebetale 8.287.293 kroner. Yderligere bekræftes dette vha. funktionen </w:t>
      </w:r>
      <w:proofErr w:type="spellStart"/>
      <w:r w:rsidR="008C55AD" w:rsidRPr="00BA274B">
        <w:rPr>
          <w:rFonts w:eastAsiaTheme="minorEastAsia"/>
          <w:lang w:val="da-DK"/>
        </w:rPr>
        <w:t>goal-seek</w:t>
      </w:r>
      <w:proofErr w:type="spellEnd"/>
      <w:r w:rsidR="008C55AD" w:rsidRPr="00BA274B">
        <w:rPr>
          <w:rFonts w:eastAsiaTheme="minorEastAsia"/>
          <w:lang w:val="da-DK"/>
        </w:rPr>
        <w:t xml:space="preserve"> i Excel, hvorved den følgende tabel er opsat. </w:t>
      </w:r>
    </w:p>
    <w:p w14:paraId="12581CB9" w14:textId="77777777" w:rsidR="008C55AD" w:rsidRPr="00BA274B" w:rsidRDefault="008C55AD" w:rsidP="00B0683F">
      <w:pPr>
        <w:rPr>
          <w:rFonts w:eastAsiaTheme="minorEastAsia"/>
          <w:lang w:val="da-DK"/>
        </w:rPr>
      </w:pPr>
    </w:p>
    <w:p w14:paraId="0CFC1B7A" w14:textId="4D813925" w:rsidR="008954EE" w:rsidRPr="00BA274B" w:rsidRDefault="008C55AD" w:rsidP="00B0683F">
      <w:pPr>
        <w:rPr>
          <w:rFonts w:eastAsiaTheme="minorEastAsia"/>
          <w:lang w:val="da-DK"/>
        </w:rPr>
      </w:pPr>
      <w:r w:rsidRPr="00BA274B">
        <w:rPr>
          <w:rFonts w:eastAsiaTheme="minorEastAsia"/>
          <w:noProof/>
          <w:lang w:val="da-DK"/>
        </w:rPr>
        <w:drawing>
          <wp:inline distT="0" distB="0" distL="0" distR="0" wp14:anchorId="713B7EF9" wp14:editId="47C19D52">
            <wp:extent cx="2159000" cy="1079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9000" cy="1079500"/>
                    </a:xfrm>
                    <a:prstGeom prst="rect">
                      <a:avLst/>
                    </a:prstGeom>
                  </pic:spPr>
                </pic:pic>
              </a:graphicData>
            </a:graphic>
          </wp:inline>
        </w:drawing>
      </w:r>
    </w:p>
    <w:p w14:paraId="0712D453" w14:textId="77777777" w:rsidR="008954EE" w:rsidRPr="00BA274B" w:rsidRDefault="008954EE" w:rsidP="00B0683F">
      <w:pPr>
        <w:rPr>
          <w:rFonts w:eastAsiaTheme="minorEastAsia"/>
          <w:lang w:val="da-DK"/>
        </w:rPr>
      </w:pPr>
    </w:p>
    <w:p w14:paraId="3816349E" w14:textId="0B4F9B63" w:rsidR="008954EE" w:rsidRPr="00BA274B" w:rsidRDefault="008954EE" w:rsidP="00B0683F">
      <w:pPr>
        <w:rPr>
          <w:rFonts w:eastAsiaTheme="minorEastAsia"/>
          <w:b/>
          <w:bCs/>
          <w:lang w:val="da-DK"/>
        </w:rPr>
      </w:pPr>
      <w:r w:rsidRPr="00BA274B">
        <w:rPr>
          <w:rFonts w:eastAsiaTheme="minorEastAsia"/>
          <w:b/>
          <w:bCs/>
          <w:lang w:val="da-DK"/>
        </w:rPr>
        <w:t>1.2</w:t>
      </w:r>
    </w:p>
    <w:p w14:paraId="0808D718" w14:textId="51B9F3F8" w:rsidR="008954EE" w:rsidRPr="00BA274B" w:rsidRDefault="008954EE" w:rsidP="00B0683F">
      <w:pPr>
        <w:rPr>
          <w:rFonts w:eastAsiaTheme="minorEastAsia"/>
          <w:lang w:val="da-DK"/>
        </w:rPr>
      </w:pPr>
      <w:r w:rsidRPr="00BA274B">
        <w:rPr>
          <w:rFonts w:eastAsiaTheme="minorEastAsia"/>
          <w:lang w:val="da-DK"/>
        </w:rPr>
        <w:t>Fra den fundne hovedstol i 1.1, kan der opstilles en tabel med de løbende betalinger, der foretages for afbetaling af lånet. (Se nedenfor)</w:t>
      </w:r>
    </w:p>
    <w:p w14:paraId="65D14E3A" w14:textId="7FB0E0AB" w:rsidR="008954EE" w:rsidRPr="00BA274B" w:rsidRDefault="008954EE" w:rsidP="00B0683F">
      <w:pPr>
        <w:rPr>
          <w:rFonts w:eastAsiaTheme="minorEastAsia"/>
          <w:lang w:val="da-DK"/>
        </w:rPr>
      </w:pPr>
      <w:r w:rsidRPr="00BA274B">
        <w:rPr>
          <w:rFonts w:eastAsiaTheme="minorEastAsia"/>
          <w:lang w:val="da-DK"/>
        </w:rPr>
        <w:t>Efterfølgende kan den effektive rente udregnes. Denne beregnes til 8,49%, hvilket er 2,49 pct. point højere end den pålydende rente. Størrelsesforskellen mellem den effektive rente og den pålydende</w:t>
      </w:r>
      <w:r w:rsidR="00802161" w:rsidRPr="00BA274B">
        <w:rPr>
          <w:rFonts w:eastAsiaTheme="minorEastAsia"/>
          <w:lang w:val="da-DK"/>
        </w:rPr>
        <w:t xml:space="preserve"> rente</w:t>
      </w:r>
      <w:r w:rsidRPr="00BA274B">
        <w:rPr>
          <w:rFonts w:eastAsiaTheme="minorEastAsia"/>
          <w:lang w:val="da-DK"/>
        </w:rPr>
        <w:t xml:space="preserve"> skyldes rentes rente effekten, samt de flere rentetilskrivninger, hvilket alt andet lige </w:t>
      </w:r>
      <w:r w:rsidR="00D8197D" w:rsidRPr="00BA274B">
        <w:rPr>
          <w:rFonts w:eastAsiaTheme="minorEastAsia"/>
          <w:lang w:val="da-DK"/>
        </w:rPr>
        <w:t xml:space="preserve">forøger den effektive rente. </w:t>
      </w:r>
      <w:r w:rsidR="00CD630F" w:rsidRPr="00BA274B">
        <w:rPr>
          <w:rFonts w:eastAsiaTheme="minorEastAsia"/>
          <w:lang w:val="da-DK"/>
        </w:rPr>
        <w:t xml:space="preserve">Rentes rente effekten opstår, når der tillægges renter i hver termin, bliver tilbagebetalingsbeløbet større, hvilket forhøjer hovedstolen. </w:t>
      </w:r>
    </w:p>
    <w:p w14:paraId="115DBE0D" w14:textId="4567351F" w:rsidR="00B0683F" w:rsidRPr="00BA274B" w:rsidRDefault="008954EE" w:rsidP="00B0683F">
      <w:pPr>
        <w:rPr>
          <w:rFonts w:eastAsiaTheme="minorEastAsia"/>
          <w:b/>
          <w:bCs/>
          <w:lang w:val="da-DK"/>
        </w:rPr>
      </w:pPr>
      <w:r w:rsidRPr="00BA274B">
        <w:rPr>
          <w:rFonts w:eastAsiaTheme="minorEastAsia"/>
          <w:b/>
          <w:bCs/>
          <w:noProof/>
          <w:lang w:val="da-DK"/>
        </w:rPr>
        <w:drawing>
          <wp:inline distT="0" distB="0" distL="0" distR="0" wp14:anchorId="236DBB02" wp14:editId="72BF64D4">
            <wp:extent cx="2006600" cy="8763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6600" cy="876300"/>
                    </a:xfrm>
                    <a:prstGeom prst="rect">
                      <a:avLst/>
                    </a:prstGeom>
                  </pic:spPr>
                </pic:pic>
              </a:graphicData>
            </a:graphic>
          </wp:inline>
        </w:drawing>
      </w:r>
      <w:r w:rsidR="00B0683F" w:rsidRPr="00BA274B">
        <w:rPr>
          <w:rFonts w:eastAsiaTheme="minorEastAsia"/>
          <w:b/>
          <w:bCs/>
          <w:lang w:val="da-DK"/>
        </w:rPr>
        <w:br/>
      </w:r>
    </w:p>
    <w:p w14:paraId="3F365FF9" w14:textId="77777777" w:rsidR="00B0683F" w:rsidRPr="00BA274B" w:rsidRDefault="00B0683F" w:rsidP="00B0683F">
      <w:pPr>
        <w:rPr>
          <w:rFonts w:eastAsiaTheme="minorEastAsia"/>
          <w:lang w:val="da-DK"/>
        </w:rPr>
      </w:pPr>
    </w:p>
    <w:p w14:paraId="2321F86C" w14:textId="1758AE17" w:rsidR="00B0683F" w:rsidRPr="00BA274B" w:rsidRDefault="008954EE" w:rsidP="00B0683F">
      <w:pPr>
        <w:rPr>
          <w:rFonts w:eastAsiaTheme="minorEastAsia"/>
          <w:lang w:val="da-DK"/>
        </w:rPr>
      </w:pPr>
      <w:r w:rsidRPr="00BA274B">
        <w:rPr>
          <w:rFonts w:eastAsiaTheme="minorEastAsia"/>
          <w:noProof/>
          <w:lang w:val="da-DK"/>
        </w:rPr>
        <w:lastRenderedPageBreak/>
        <w:drawing>
          <wp:inline distT="0" distB="0" distL="0" distR="0" wp14:anchorId="6517162D" wp14:editId="34576208">
            <wp:extent cx="3670300" cy="6716649"/>
            <wp:effectExtent l="0" t="0" r="0" b="1905"/>
            <wp:docPr id="2" name="Picture 2" descr="A picture containing tex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0645" cy="6717281"/>
                    </a:xfrm>
                    <a:prstGeom prst="rect">
                      <a:avLst/>
                    </a:prstGeom>
                  </pic:spPr>
                </pic:pic>
              </a:graphicData>
            </a:graphic>
          </wp:inline>
        </w:drawing>
      </w:r>
    </w:p>
    <w:p w14:paraId="401B7263" w14:textId="7800051F" w:rsidR="00D8197D" w:rsidRPr="00BA274B" w:rsidRDefault="00D8197D" w:rsidP="00B0683F">
      <w:pPr>
        <w:rPr>
          <w:rFonts w:eastAsiaTheme="minorEastAsia"/>
          <w:lang w:val="da-DK"/>
        </w:rPr>
      </w:pPr>
    </w:p>
    <w:p w14:paraId="33D16934" w14:textId="72118538" w:rsidR="00D8197D" w:rsidRPr="00BA274B" w:rsidRDefault="00D8197D" w:rsidP="00B0683F">
      <w:pPr>
        <w:rPr>
          <w:rFonts w:eastAsiaTheme="minorEastAsia"/>
          <w:lang w:val="da-DK"/>
        </w:rPr>
      </w:pPr>
      <w:r w:rsidRPr="00BA274B">
        <w:rPr>
          <w:rFonts w:eastAsiaTheme="minorEastAsia"/>
          <w:b/>
          <w:bCs/>
          <w:lang w:val="da-DK"/>
        </w:rPr>
        <w:t xml:space="preserve">1.3 </w:t>
      </w:r>
    </w:p>
    <w:p w14:paraId="2530A331" w14:textId="25A6F402" w:rsidR="00D8197D" w:rsidRPr="00BA274B" w:rsidRDefault="00D8197D" w:rsidP="00B0683F">
      <w:pPr>
        <w:rPr>
          <w:rFonts w:eastAsiaTheme="minorEastAsia"/>
          <w:lang w:val="da-DK"/>
        </w:rPr>
      </w:pPr>
      <w:r w:rsidRPr="00BA274B">
        <w:rPr>
          <w:rFonts w:eastAsiaTheme="minorEastAsia"/>
          <w:lang w:val="da-DK"/>
        </w:rPr>
        <w:t>En kreditvurdering er en troværdighedsvurdering. Denne vurderes på baggrund af virksomhedens økonomi, fremtidige kendte cashflows og tilbagebetalingshistorikken ved tidligere påtegnelser af lån</w:t>
      </w:r>
      <w:r w:rsidR="00802161" w:rsidRPr="00BA274B">
        <w:rPr>
          <w:rFonts w:eastAsiaTheme="minorEastAsia"/>
          <w:lang w:val="da-DK"/>
        </w:rPr>
        <w:t xml:space="preserve"> osv.</w:t>
      </w:r>
      <w:r w:rsidRPr="00BA274B">
        <w:rPr>
          <w:rFonts w:eastAsiaTheme="minorEastAsia"/>
          <w:lang w:val="da-DK"/>
        </w:rPr>
        <w:t xml:space="preserve">. En højere kreditvurdering giver derfor større tiltro til virksomheden, hvilket vil give dem bedre forhandlingsvilkår ift. stiftelse af gæld. Her i blandt en højere kurs og derved et mindre kurstab.  </w:t>
      </w:r>
    </w:p>
    <w:p w14:paraId="06082A53" w14:textId="22959705" w:rsidR="00D8197D" w:rsidRPr="00BA274B" w:rsidRDefault="00D8197D" w:rsidP="00B0683F">
      <w:pPr>
        <w:rPr>
          <w:rFonts w:eastAsiaTheme="minorEastAsia"/>
          <w:lang w:val="da-DK"/>
        </w:rPr>
      </w:pPr>
    </w:p>
    <w:p w14:paraId="5FCF6B10" w14:textId="334B3342" w:rsidR="00CD630F" w:rsidRPr="00BA274B" w:rsidRDefault="00CD630F" w:rsidP="00B0683F">
      <w:pPr>
        <w:rPr>
          <w:rFonts w:eastAsiaTheme="minorEastAsia"/>
          <w:lang w:val="da-DK"/>
        </w:rPr>
      </w:pPr>
    </w:p>
    <w:p w14:paraId="66FA3AC6" w14:textId="28ADA8EE" w:rsidR="00CD630F" w:rsidRPr="00BA274B" w:rsidRDefault="00CD630F" w:rsidP="00B0683F">
      <w:pPr>
        <w:rPr>
          <w:rFonts w:eastAsiaTheme="minorEastAsia"/>
          <w:lang w:val="da-DK"/>
        </w:rPr>
      </w:pPr>
    </w:p>
    <w:p w14:paraId="293674A0" w14:textId="77777777" w:rsidR="00CD630F" w:rsidRPr="00BA274B" w:rsidRDefault="00CD630F" w:rsidP="00B0683F">
      <w:pPr>
        <w:rPr>
          <w:rFonts w:eastAsiaTheme="minorEastAsia"/>
          <w:lang w:val="da-DK"/>
        </w:rPr>
      </w:pPr>
    </w:p>
    <w:p w14:paraId="58E8154E" w14:textId="69AD962C" w:rsidR="00D8197D" w:rsidRPr="00BA274B" w:rsidRDefault="00D8197D" w:rsidP="00B0683F">
      <w:pPr>
        <w:rPr>
          <w:rFonts w:eastAsiaTheme="minorEastAsia"/>
          <w:b/>
          <w:bCs/>
          <w:lang w:val="da-DK"/>
        </w:rPr>
      </w:pPr>
      <w:r w:rsidRPr="00BA274B">
        <w:rPr>
          <w:rFonts w:eastAsiaTheme="minorEastAsia"/>
          <w:b/>
          <w:bCs/>
          <w:lang w:val="da-DK"/>
        </w:rPr>
        <w:lastRenderedPageBreak/>
        <w:t xml:space="preserve">1.4 </w:t>
      </w:r>
    </w:p>
    <w:p w14:paraId="4366FAEA" w14:textId="2C5C5C1D" w:rsidR="00D8197D" w:rsidRPr="00BA274B" w:rsidRDefault="00D8197D" w:rsidP="00B0683F">
      <w:pPr>
        <w:rPr>
          <w:rFonts w:eastAsiaTheme="minorEastAsia"/>
          <w:lang w:val="da-DK"/>
        </w:rPr>
      </w:pPr>
      <w:r w:rsidRPr="00BA274B">
        <w:rPr>
          <w:rFonts w:eastAsiaTheme="minorEastAsia"/>
          <w:lang w:val="da-DK"/>
        </w:rPr>
        <w:t xml:space="preserve">Ved den højere kurs, 96, har kreditvurderingen styrket virksomhedens position i forhold til långiveren. Derved har virksomheden opnået et mindre kurstab, dog vides det ikke, om det fordelagtigt, hvis udgiften til kreditvurderingsbureauet medregnes. Dette kan bestemmes ud fra den effektive rente, prisen på lånet. </w:t>
      </w:r>
    </w:p>
    <w:p w14:paraId="6E4690D0" w14:textId="52A980D0" w:rsidR="00D8197D" w:rsidRPr="00BA274B" w:rsidRDefault="00580E78" w:rsidP="00B0683F">
      <w:pPr>
        <w:rPr>
          <w:rFonts w:eastAsiaTheme="minorEastAsia"/>
          <w:lang w:val="da-DK"/>
        </w:rPr>
      </w:pPr>
      <w:r w:rsidRPr="00BA274B">
        <w:rPr>
          <w:rFonts w:eastAsiaTheme="minorEastAsia"/>
          <w:noProof/>
          <w:lang w:val="da-DK"/>
        </w:rPr>
        <w:drawing>
          <wp:inline distT="0" distB="0" distL="0" distR="0" wp14:anchorId="0521155B" wp14:editId="7A7E199C">
            <wp:extent cx="5702300" cy="1358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2300" cy="1358900"/>
                    </a:xfrm>
                    <a:prstGeom prst="rect">
                      <a:avLst/>
                    </a:prstGeom>
                  </pic:spPr>
                </pic:pic>
              </a:graphicData>
            </a:graphic>
          </wp:inline>
        </w:drawing>
      </w:r>
    </w:p>
    <w:p w14:paraId="4BBF913D" w14:textId="4221CEA6" w:rsidR="00580E78" w:rsidRPr="00BA274B" w:rsidRDefault="00580E78" w:rsidP="00B0683F">
      <w:pPr>
        <w:rPr>
          <w:rFonts w:eastAsiaTheme="minorEastAsia"/>
          <w:lang w:val="da-DK"/>
        </w:rPr>
      </w:pPr>
    </w:p>
    <w:p w14:paraId="341A6770" w14:textId="5EC965FE" w:rsidR="002C014C" w:rsidRPr="00BA274B" w:rsidRDefault="00580E78" w:rsidP="00B0683F">
      <w:pPr>
        <w:rPr>
          <w:rFonts w:eastAsiaTheme="minorEastAsia"/>
          <w:lang w:val="da-DK"/>
        </w:rPr>
      </w:pPr>
      <w:r w:rsidRPr="00BA274B">
        <w:rPr>
          <w:rFonts w:eastAsiaTheme="minorEastAsia"/>
          <w:lang w:val="da-DK"/>
        </w:rPr>
        <w:t>Ud fra ovenstående tabel, kan det konkluderes</w:t>
      </w:r>
      <w:r w:rsidR="00A570FA" w:rsidRPr="00BA274B">
        <w:rPr>
          <w:rFonts w:eastAsiaTheme="minorEastAsia"/>
          <w:lang w:val="da-DK"/>
        </w:rPr>
        <w:t>,</w:t>
      </w:r>
      <w:r w:rsidRPr="00BA274B">
        <w:rPr>
          <w:rFonts w:eastAsiaTheme="minorEastAsia"/>
          <w:lang w:val="da-DK"/>
        </w:rPr>
        <w:t xml:space="preserve"> det ikke er blevet billigere </w:t>
      </w:r>
      <w:r w:rsidR="002C014C" w:rsidRPr="00BA274B">
        <w:rPr>
          <w:rFonts w:eastAsiaTheme="minorEastAsia"/>
          <w:lang w:val="da-DK"/>
        </w:rPr>
        <w:t>for virksomheden at få foretaget en kreditvurdering, selvom denne har forøget obligationslånets kurs. Omkostningerne opvejer i denne situation ikke gevinsten. Dette ses blandt andet ved en højere effektiv</w:t>
      </w:r>
      <w:r w:rsidR="00A570FA" w:rsidRPr="00BA274B">
        <w:rPr>
          <w:rFonts w:eastAsiaTheme="minorEastAsia"/>
          <w:lang w:val="da-DK"/>
        </w:rPr>
        <w:t>e</w:t>
      </w:r>
      <w:r w:rsidR="002C014C" w:rsidRPr="00BA274B">
        <w:rPr>
          <w:rFonts w:eastAsiaTheme="minorEastAsia"/>
          <w:lang w:val="da-DK"/>
        </w:rPr>
        <w:t xml:space="preserve"> rente end før omtalt.</w:t>
      </w:r>
    </w:p>
    <w:p w14:paraId="037BD68A" w14:textId="0B873DD0" w:rsidR="002C014C" w:rsidRPr="00BA274B" w:rsidRDefault="002C014C" w:rsidP="00B0683F">
      <w:pPr>
        <w:rPr>
          <w:rFonts w:eastAsiaTheme="minorEastAsia"/>
          <w:lang w:val="da-DK"/>
        </w:rPr>
      </w:pPr>
      <m:oMathPara>
        <m:oMath>
          <m:r>
            <w:rPr>
              <w:rFonts w:ascii="Cambria Math" w:eastAsiaTheme="minorEastAsia" w:hAnsi="Cambria Math"/>
              <w:lang w:val="da-DK"/>
            </w:rPr>
            <m:t>Effektiv rente ved kurs 96=9,08%</m:t>
          </m:r>
          <m:r>
            <m:rPr>
              <m:sty m:val="p"/>
            </m:rPr>
            <w:rPr>
              <w:rFonts w:ascii="Cambria Math" w:eastAsiaTheme="minorEastAsia" w:hAnsi="Cambria Math"/>
              <w:lang w:val="da-DK"/>
            </w:rPr>
            <w:br/>
          </m:r>
        </m:oMath>
        <m:oMath>
          <m:r>
            <w:rPr>
              <w:rFonts w:ascii="Cambria Math" w:eastAsiaTheme="minorEastAsia" w:hAnsi="Cambria Math"/>
              <w:lang w:val="da-DK"/>
            </w:rPr>
            <m:t>Effektiv rente ved kurs 94=8,49%</m:t>
          </m:r>
          <m:r>
            <m:rPr>
              <m:sty m:val="p"/>
            </m:rPr>
            <w:rPr>
              <w:rFonts w:ascii="Cambria Math" w:eastAsiaTheme="minorEastAsia" w:hAnsi="Cambria Math"/>
              <w:lang w:val="da-DK"/>
            </w:rPr>
            <w:br/>
          </m:r>
        </m:oMath>
        <m:oMath>
          <m:r>
            <w:rPr>
              <w:rFonts w:ascii="Cambria Math" w:eastAsiaTheme="minorEastAsia" w:hAnsi="Cambria Math"/>
              <w:lang w:val="da-DK"/>
            </w:rPr>
            <m:t>Forskel=+0,59 pct. point</m:t>
          </m:r>
        </m:oMath>
      </m:oMathPara>
    </w:p>
    <w:p w14:paraId="25712FBD" w14:textId="5D46A09C" w:rsidR="002C014C" w:rsidRPr="00BA274B" w:rsidRDefault="002C014C" w:rsidP="00B0683F">
      <w:pPr>
        <w:rPr>
          <w:rFonts w:eastAsiaTheme="minorEastAsia"/>
          <w:lang w:val="da-DK"/>
        </w:rPr>
      </w:pPr>
      <w:r w:rsidRPr="00BA274B">
        <w:rPr>
          <w:rFonts w:eastAsiaTheme="minorEastAsia"/>
          <w:lang w:val="da-DK"/>
        </w:rPr>
        <w:t xml:space="preserve">Derfor vil investeringen i en kreditvurdering ikke give et bedre lån, da omkostningerne ved investeringen var større end gevinsten. </w:t>
      </w:r>
    </w:p>
    <w:p w14:paraId="798C6B97" w14:textId="1B0887C7" w:rsidR="002C014C" w:rsidRPr="00BA274B" w:rsidRDefault="002C014C" w:rsidP="00B0683F">
      <w:pPr>
        <w:rPr>
          <w:rFonts w:eastAsiaTheme="minorEastAsia"/>
          <w:lang w:val="da-DK"/>
        </w:rPr>
      </w:pPr>
    </w:p>
    <w:p w14:paraId="314DA3F4" w14:textId="627F74B6" w:rsidR="002C014C" w:rsidRPr="00BA274B" w:rsidRDefault="002C014C" w:rsidP="00B0683F">
      <w:pPr>
        <w:rPr>
          <w:rFonts w:eastAsiaTheme="minorEastAsia"/>
          <w:lang w:val="da-DK"/>
        </w:rPr>
      </w:pPr>
      <w:r w:rsidRPr="00BA274B">
        <w:rPr>
          <w:rFonts w:eastAsiaTheme="minorEastAsia"/>
          <w:b/>
          <w:bCs/>
          <w:lang w:val="da-DK"/>
        </w:rPr>
        <w:t xml:space="preserve">1.5 </w:t>
      </w:r>
    </w:p>
    <w:p w14:paraId="7FEB9027" w14:textId="3D9F773F" w:rsidR="002C014C" w:rsidRPr="00BA274B" w:rsidRDefault="002C014C" w:rsidP="00B0683F">
      <w:pPr>
        <w:rPr>
          <w:rFonts w:eastAsiaTheme="minorEastAsia"/>
          <w:lang w:val="da-DK"/>
        </w:rPr>
      </w:pPr>
      <w:r w:rsidRPr="00BA274B">
        <w:rPr>
          <w:rFonts w:eastAsiaTheme="minorEastAsia"/>
          <w:lang w:val="da-DK"/>
        </w:rPr>
        <w:t xml:space="preserve">Som tidligere nævnt bliver det ikke billigere at få foretaget en kreditvurderingen. </w:t>
      </w:r>
      <w:r w:rsidR="00BD7833" w:rsidRPr="00BA274B">
        <w:rPr>
          <w:rFonts w:eastAsiaTheme="minorEastAsia"/>
          <w:lang w:val="da-DK"/>
        </w:rPr>
        <w:t xml:space="preserve">I figuren under udledes det, at en stigende kurs er nødvendig for at sænke den effektive rente under rente før den foretaget </w:t>
      </w:r>
      <w:r w:rsidR="00E017B9" w:rsidRPr="00BA274B">
        <w:rPr>
          <w:rFonts w:eastAsiaTheme="minorEastAsia"/>
          <w:lang w:val="da-DK"/>
        </w:rPr>
        <w:t xml:space="preserve">kreditvurdering. </w:t>
      </w:r>
      <w:r w:rsidR="00A84E84" w:rsidRPr="00BA274B">
        <w:rPr>
          <w:rFonts w:eastAsiaTheme="minorEastAsia"/>
          <w:lang w:val="da-DK"/>
        </w:rPr>
        <w:t xml:space="preserve">Altså højere kurs udmønter i en lavere effektiv rente. I vores </w:t>
      </w:r>
      <w:r w:rsidR="00C30097" w:rsidRPr="00BA274B">
        <w:rPr>
          <w:rFonts w:eastAsiaTheme="minorEastAsia"/>
          <w:lang w:val="da-DK"/>
        </w:rPr>
        <w:t xml:space="preserve">tilfælde er det </w:t>
      </w:r>
      <w:r w:rsidR="00E017B9" w:rsidRPr="00BA274B">
        <w:rPr>
          <w:rFonts w:eastAsiaTheme="minorEastAsia"/>
          <w:lang w:val="da-DK"/>
        </w:rPr>
        <w:t xml:space="preserve">ved kurs 99 </w:t>
      </w:r>
      <w:r w:rsidR="00C30097" w:rsidRPr="00BA274B">
        <w:rPr>
          <w:rFonts w:eastAsiaTheme="minorEastAsia"/>
          <w:lang w:val="da-DK"/>
        </w:rPr>
        <w:t>kreditvurderingen</w:t>
      </w:r>
      <w:r w:rsidR="00E017B9" w:rsidRPr="00BA274B">
        <w:rPr>
          <w:rFonts w:eastAsiaTheme="minorEastAsia"/>
          <w:lang w:val="da-DK"/>
        </w:rPr>
        <w:t xml:space="preserve"> </w:t>
      </w:r>
      <w:r w:rsidR="00C30097" w:rsidRPr="00BA274B">
        <w:rPr>
          <w:rFonts w:eastAsiaTheme="minorEastAsia"/>
          <w:lang w:val="da-DK"/>
        </w:rPr>
        <w:t>bliver</w:t>
      </w:r>
      <w:r w:rsidR="00E017B9" w:rsidRPr="00BA274B">
        <w:rPr>
          <w:rFonts w:eastAsiaTheme="minorEastAsia"/>
          <w:lang w:val="da-DK"/>
        </w:rPr>
        <w:t xml:space="preserve"> rentabelt for virksomheden</w:t>
      </w:r>
      <w:r w:rsidR="00C30097" w:rsidRPr="00BA274B">
        <w:rPr>
          <w:rFonts w:eastAsiaTheme="minorEastAsia"/>
          <w:lang w:val="da-DK"/>
        </w:rPr>
        <w:t>.</w:t>
      </w:r>
    </w:p>
    <w:p w14:paraId="4BE58502" w14:textId="5E5B1A78" w:rsidR="00E017B9" w:rsidRPr="00BA274B" w:rsidRDefault="00E017B9" w:rsidP="00E017B9">
      <w:pPr>
        <w:rPr>
          <w:rFonts w:eastAsiaTheme="minorEastAsia"/>
          <w:lang w:val="da-DK"/>
        </w:rPr>
      </w:pPr>
      <m:oMathPara>
        <m:oMath>
          <m:r>
            <w:rPr>
              <w:rFonts w:ascii="Cambria Math" w:eastAsiaTheme="minorEastAsia" w:hAnsi="Cambria Math"/>
              <w:lang w:val="da-DK"/>
            </w:rPr>
            <m:t>Effektiv rente ved kurs 99=8,3%</m:t>
          </m:r>
          <m:r>
            <m:rPr>
              <m:sty m:val="p"/>
            </m:rPr>
            <w:rPr>
              <w:rFonts w:ascii="Cambria Math" w:eastAsiaTheme="minorEastAsia" w:hAnsi="Cambria Math"/>
              <w:lang w:val="da-DK"/>
            </w:rPr>
            <w:br/>
          </m:r>
        </m:oMath>
        <m:oMath>
          <m:r>
            <w:rPr>
              <w:rFonts w:ascii="Cambria Math" w:eastAsiaTheme="minorEastAsia" w:hAnsi="Cambria Math"/>
              <w:lang w:val="da-DK"/>
            </w:rPr>
            <m:t>Effektiv rente ved kurs 94=8,49%</m:t>
          </m:r>
          <m:r>
            <m:rPr>
              <m:sty m:val="p"/>
            </m:rPr>
            <w:rPr>
              <w:rFonts w:ascii="Cambria Math" w:eastAsiaTheme="minorEastAsia" w:hAnsi="Cambria Math"/>
              <w:lang w:val="da-DK"/>
            </w:rPr>
            <w:br/>
          </m:r>
        </m:oMath>
        <m:oMath>
          <m:r>
            <w:rPr>
              <w:rFonts w:ascii="Cambria Math" w:eastAsiaTheme="minorEastAsia" w:hAnsi="Cambria Math"/>
              <w:lang w:val="da-DK"/>
            </w:rPr>
            <m:t>Forskel=-0,19 pct. point</m:t>
          </m:r>
        </m:oMath>
      </m:oMathPara>
    </w:p>
    <w:p w14:paraId="3F6EE00D" w14:textId="6EA6BD6B" w:rsidR="00E017B9" w:rsidRPr="00BA274B" w:rsidRDefault="00E017B9" w:rsidP="00E017B9">
      <w:pPr>
        <w:rPr>
          <w:rFonts w:eastAsiaTheme="minorEastAsia"/>
          <w:lang w:val="da-DK"/>
        </w:rPr>
      </w:pPr>
      <w:r w:rsidRPr="00BA274B">
        <w:rPr>
          <w:rFonts w:eastAsiaTheme="minorEastAsia"/>
          <w:lang w:val="da-DK"/>
        </w:rPr>
        <w:t xml:space="preserve">Dette skyldes det faldende kurstab, der opstår, ved en stigning i kursen. Dette kan illustreres grafisk ved nedenstående figur. </w:t>
      </w:r>
    </w:p>
    <w:p w14:paraId="1BD4C064" w14:textId="77777777" w:rsidR="00E017B9" w:rsidRPr="00BA274B" w:rsidRDefault="00E017B9" w:rsidP="00B0683F">
      <w:pPr>
        <w:rPr>
          <w:rFonts w:eastAsiaTheme="minorEastAsia"/>
          <w:lang w:val="da-DK"/>
        </w:rPr>
      </w:pPr>
    </w:p>
    <w:p w14:paraId="5F1E24B4" w14:textId="1A232CA1" w:rsidR="002C014C" w:rsidRPr="00BA274B" w:rsidRDefault="002C014C" w:rsidP="00B0683F">
      <w:pPr>
        <w:rPr>
          <w:rFonts w:eastAsiaTheme="minorEastAsia"/>
          <w:lang w:val="da-DK"/>
        </w:rPr>
      </w:pPr>
      <w:r w:rsidRPr="00BA274B">
        <w:rPr>
          <w:rFonts w:eastAsiaTheme="minorEastAsia"/>
          <w:noProof/>
          <w:lang w:val="da-DK"/>
        </w:rPr>
        <w:drawing>
          <wp:inline distT="0" distB="0" distL="0" distR="0" wp14:anchorId="220EA80A" wp14:editId="7440FCBA">
            <wp:extent cx="3657600" cy="22479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2247900"/>
                    </a:xfrm>
                    <a:prstGeom prst="rect">
                      <a:avLst/>
                    </a:prstGeom>
                  </pic:spPr>
                </pic:pic>
              </a:graphicData>
            </a:graphic>
          </wp:inline>
        </w:drawing>
      </w:r>
    </w:p>
    <w:p w14:paraId="5273EA1D" w14:textId="43E93B45" w:rsidR="007B3B83" w:rsidRPr="00BA274B" w:rsidRDefault="007B3B83" w:rsidP="00B0683F">
      <w:pPr>
        <w:rPr>
          <w:rFonts w:eastAsiaTheme="minorEastAsia"/>
          <w:lang w:val="da-DK"/>
        </w:rPr>
      </w:pPr>
    </w:p>
    <w:p w14:paraId="65938CA6" w14:textId="7CB7FD45" w:rsidR="007B3B83" w:rsidRPr="00BA274B" w:rsidRDefault="007B3B83" w:rsidP="00B0683F">
      <w:pPr>
        <w:rPr>
          <w:rFonts w:eastAsiaTheme="minorEastAsia"/>
          <w:lang w:val="da-DK"/>
        </w:rPr>
      </w:pPr>
      <w:r w:rsidRPr="00BA274B">
        <w:rPr>
          <w:rFonts w:eastAsiaTheme="minorEastAsia"/>
          <w:b/>
          <w:bCs/>
          <w:lang w:val="da-DK"/>
        </w:rPr>
        <w:t>2.1</w:t>
      </w:r>
    </w:p>
    <w:p w14:paraId="397C33D5" w14:textId="0267AC0A" w:rsidR="007B3B83" w:rsidRPr="00BA274B" w:rsidRDefault="00992DCA" w:rsidP="00B0683F">
      <w:pPr>
        <w:rPr>
          <w:rFonts w:eastAsiaTheme="minorEastAsia"/>
          <w:lang w:val="da-DK"/>
        </w:rPr>
      </w:pPr>
      <w:r w:rsidRPr="00BA274B">
        <w:rPr>
          <w:rFonts w:eastAsiaTheme="minorEastAsia"/>
          <w:lang w:val="da-DK"/>
        </w:rPr>
        <w:t xml:space="preserve">En risikoavers </w:t>
      </w:r>
      <w:r w:rsidR="00B13A5A" w:rsidRPr="00BA274B">
        <w:rPr>
          <w:rFonts w:eastAsiaTheme="minorEastAsia"/>
          <w:lang w:val="da-DK"/>
        </w:rPr>
        <w:t>investor investerer ved lavest mulig risiko, og stiger risikoen, skal investoren belønnes med et højere afkast.</w:t>
      </w:r>
    </w:p>
    <w:p w14:paraId="566891DD" w14:textId="04B0A055" w:rsidR="00B13A5A" w:rsidRPr="00BA274B" w:rsidRDefault="00B13A5A" w:rsidP="00B0683F">
      <w:pPr>
        <w:rPr>
          <w:rFonts w:eastAsiaTheme="minorEastAsia"/>
          <w:lang w:val="da-DK"/>
        </w:rPr>
      </w:pPr>
    </w:p>
    <w:p w14:paraId="07039694" w14:textId="73D6D6DF" w:rsidR="00B13A5A" w:rsidRPr="00BA274B" w:rsidRDefault="00B13A5A" w:rsidP="00B0683F">
      <w:pPr>
        <w:rPr>
          <w:rFonts w:eastAsiaTheme="minorEastAsia"/>
          <w:lang w:val="da-DK"/>
        </w:rPr>
      </w:pPr>
      <w:r w:rsidRPr="00BA274B">
        <w:rPr>
          <w:rFonts w:eastAsiaTheme="minorEastAsia"/>
          <w:b/>
          <w:bCs/>
          <w:lang w:val="da-DK"/>
        </w:rPr>
        <w:t>2.2</w:t>
      </w:r>
    </w:p>
    <w:p w14:paraId="149067F9" w14:textId="621C2AEE" w:rsidR="004D2C10" w:rsidRPr="00BA274B" w:rsidRDefault="004D2C10"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Det forventede afkast af værdipapirer A og B er ens. Af denne grund er porteføljens forventede afkast uafhængig af, hvordan værdipapirerne vægtes. Irrelevant af fordeling af vægtene vil porteføljens forventede afkast være 0,06. Dog ville en risikoavers investor ville placere sin kapital i aktie B, da denne har lavest risiko, men stadig samme forventet afkast, hvis aktie A inkluderes i investorens portefølje.</w:t>
      </w:r>
    </w:p>
    <w:p w14:paraId="6DA7C9BF" w14:textId="58F383B2" w:rsidR="004D2C10" w:rsidRPr="00BA274B" w:rsidRDefault="004D2C10" w:rsidP="004D2C10">
      <w:pPr>
        <w:rPr>
          <w:rFonts w:ascii="Calibri" w:eastAsia="Times New Roman" w:hAnsi="Calibri" w:cs="Calibri"/>
          <w:color w:val="000000"/>
          <w:lang w:val="da-DK" w:eastAsia="en-GB"/>
        </w:rPr>
      </w:pPr>
    </w:p>
    <w:p w14:paraId="11101F4E" w14:textId="1A808498" w:rsidR="004D2C10" w:rsidRPr="00BA274B" w:rsidRDefault="004D2C10" w:rsidP="004D2C10">
      <w:pPr>
        <w:rPr>
          <w:rFonts w:ascii="Calibri" w:eastAsia="Times New Roman" w:hAnsi="Calibri" w:cs="Calibri"/>
          <w:color w:val="000000"/>
          <w:lang w:val="da-DK" w:eastAsia="en-GB"/>
        </w:rPr>
      </w:pPr>
      <w:r w:rsidRPr="00BA274B">
        <w:rPr>
          <w:rFonts w:ascii="Calibri" w:eastAsia="Times New Roman" w:hAnsi="Calibri" w:cs="Calibri"/>
          <w:b/>
          <w:bCs/>
          <w:color w:val="000000"/>
          <w:lang w:val="da-DK" w:eastAsia="en-GB"/>
        </w:rPr>
        <w:t>2.3</w:t>
      </w:r>
    </w:p>
    <w:p w14:paraId="2CEE28F1" w14:textId="5FE410E2" w:rsidR="004D2C10" w:rsidRPr="00BA274B" w:rsidRDefault="004D2C10"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Korrelationseffekten, som udtrykker samvariationen mellem værdipapirerne, er givet ved </w:t>
      </w:r>
    </w:p>
    <w:p w14:paraId="2EAFA43C" w14:textId="4B68A53D" w:rsidR="004D2C10" w:rsidRPr="00BA274B" w:rsidRDefault="00186033" w:rsidP="004D2C10">
      <w:pPr>
        <w:rPr>
          <w:rFonts w:ascii="Calibri" w:eastAsia="Times New Roman" w:hAnsi="Calibri" w:cs="Calibri"/>
          <w:color w:val="000000"/>
          <w:lang w:val="da-DK" w:eastAsia="en-GB"/>
        </w:rPr>
      </w:pPr>
      <m:oMathPara>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m:t>
          </m:r>
          <m:f>
            <m:fPr>
              <m:ctrlPr>
                <w:rPr>
                  <w:rFonts w:ascii="Cambria Math" w:eastAsia="Times New Roman" w:hAnsi="Cambria Math" w:cs="Calibri"/>
                  <w:i/>
                  <w:color w:val="000000"/>
                  <w:lang w:val="da-DK" w:eastAsia="en-GB"/>
                </w:rPr>
              </m:ctrlPr>
            </m:fPr>
            <m:num>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num>
            <m:den>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den>
          </m:f>
        </m:oMath>
      </m:oMathPara>
    </w:p>
    <w:p w14:paraId="0897E7A9" w14:textId="39106876" w:rsidR="004D2C10" w:rsidRPr="00BA274B" w:rsidRDefault="004D2C10"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Hvis </w:t>
      </w:r>
      <m:oMath>
        <m:r>
          <w:rPr>
            <w:rFonts w:ascii="Cambria Math" w:eastAsia="Times New Roman" w:hAnsi="Cambria Math" w:cs="Calibri"/>
            <w:color w:val="000000"/>
            <w:lang w:val="da-DK" w:eastAsia="en-GB"/>
          </w:rPr>
          <m:t>ρ&lt;0</m:t>
        </m:r>
      </m:oMath>
      <w:r w:rsidRPr="00BA274B">
        <w:rPr>
          <w:rFonts w:ascii="Calibri" w:eastAsia="Times New Roman" w:hAnsi="Calibri" w:cs="Calibri"/>
          <w:color w:val="000000"/>
          <w:lang w:val="da-DK" w:eastAsia="en-GB"/>
        </w:rPr>
        <w:t>, altså negativt korrelerede</w:t>
      </w:r>
      <w:r w:rsidR="008740A3" w:rsidRPr="00BA274B">
        <w:rPr>
          <w:rFonts w:ascii="Calibri" w:eastAsia="Times New Roman" w:hAnsi="Calibri" w:cs="Calibri"/>
          <w:color w:val="000000"/>
          <w:lang w:val="da-DK" w:eastAsia="en-GB"/>
        </w:rPr>
        <w:t xml:space="preserve">, så er der negativ </w:t>
      </w:r>
      <w:proofErr w:type="spellStart"/>
      <w:r w:rsidR="008740A3" w:rsidRPr="00BA274B">
        <w:rPr>
          <w:rFonts w:ascii="Calibri" w:eastAsia="Times New Roman" w:hAnsi="Calibri" w:cs="Calibri"/>
          <w:color w:val="000000"/>
          <w:lang w:val="da-DK" w:eastAsia="en-GB"/>
        </w:rPr>
        <w:t>samvariation</w:t>
      </w:r>
      <w:proofErr w:type="spellEnd"/>
      <w:r w:rsidR="008740A3" w:rsidRPr="00BA274B">
        <w:rPr>
          <w:rFonts w:ascii="Calibri" w:eastAsia="Times New Roman" w:hAnsi="Calibri" w:cs="Calibri"/>
          <w:color w:val="000000"/>
          <w:lang w:val="da-DK" w:eastAsia="en-GB"/>
        </w:rPr>
        <w:t xml:space="preserve">. </w:t>
      </w:r>
    </w:p>
    <w:p w14:paraId="45844791" w14:textId="32A8D0EA" w:rsidR="008740A3" w:rsidRPr="00BA274B" w:rsidRDefault="008740A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Hvis </w:t>
      </w:r>
      <m:oMath>
        <m:r>
          <w:rPr>
            <w:rFonts w:ascii="Cambria Math" w:eastAsia="Times New Roman" w:hAnsi="Cambria Math" w:cs="Calibri"/>
            <w:color w:val="000000"/>
            <w:lang w:val="da-DK" w:eastAsia="en-GB"/>
          </w:rPr>
          <m:t>ρ&gt;0</m:t>
        </m:r>
      </m:oMath>
      <w:r w:rsidRPr="00BA274B">
        <w:rPr>
          <w:rFonts w:ascii="Calibri" w:eastAsia="Times New Roman" w:hAnsi="Calibri" w:cs="Calibri"/>
          <w:color w:val="000000"/>
          <w:lang w:val="da-DK" w:eastAsia="en-GB"/>
        </w:rPr>
        <w:t xml:space="preserve">, altså positivt korrelerede, så er det positiv samvariation </w:t>
      </w:r>
    </w:p>
    <w:p w14:paraId="11638018" w14:textId="0E74EDD4" w:rsidR="008740A3" w:rsidRPr="00BA274B" w:rsidRDefault="008740A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Hvis </w:t>
      </w:r>
      <m:oMath>
        <m:r>
          <w:rPr>
            <w:rFonts w:ascii="Cambria Math" w:eastAsia="Times New Roman" w:hAnsi="Cambria Math" w:cs="Calibri"/>
            <w:color w:val="000000"/>
            <w:lang w:val="da-DK" w:eastAsia="en-GB"/>
          </w:rPr>
          <m:t>ρ=0</m:t>
        </m:r>
      </m:oMath>
      <w:r w:rsidRPr="00BA274B">
        <w:rPr>
          <w:rFonts w:ascii="Calibri" w:eastAsia="Times New Roman" w:hAnsi="Calibri" w:cs="Calibri"/>
          <w:color w:val="000000"/>
          <w:lang w:val="da-DK" w:eastAsia="en-GB"/>
        </w:rPr>
        <w:t xml:space="preserve">, altså ingen korrelation. </w:t>
      </w:r>
    </w:p>
    <w:p w14:paraId="36D4A7AC" w14:textId="5FA7CDF9" w:rsidR="008740A3" w:rsidRPr="00BA274B" w:rsidRDefault="008740A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Den laveste værdi er -1, perfekt negativ </w:t>
      </w:r>
      <w:proofErr w:type="spellStart"/>
      <w:r w:rsidRPr="00BA274B">
        <w:rPr>
          <w:rFonts w:ascii="Calibri" w:eastAsia="Times New Roman" w:hAnsi="Calibri" w:cs="Calibri"/>
          <w:color w:val="000000"/>
          <w:lang w:val="da-DK" w:eastAsia="en-GB"/>
        </w:rPr>
        <w:t>samvariation</w:t>
      </w:r>
      <w:proofErr w:type="spellEnd"/>
      <w:r w:rsidRPr="00BA274B">
        <w:rPr>
          <w:rFonts w:ascii="Calibri" w:eastAsia="Times New Roman" w:hAnsi="Calibri" w:cs="Calibri"/>
          <w:color w:val="000000"/>
          <w:lang w:val="da-DK" w:eastAsia="en-GB"/>
        </w:rPr>
        <w:t xml:space="preserve">, og højeste værdi er 1, perfekt positiv </w:t>
      </w:r>
      <w:proofErr w:type="spellStart"/>
      <w:r w:rsidRPr="00BA274B">
        <w:rPr>
          <w:rFonts w:ascii="Calibri" w:eastAsia="Times New Roman" w:hAnsi="Calibri" w:cs="Calibri"/>
          <w:color w:val="000000"/>
          <w:lang w:val="da-DK" w:eastAsia="en-GB"/>
        </w:rPr>
        <w:t>samvariation</w:t>
      </w:r>
      <w:proofErr w:type="spellEnd"/>
      <w:r w:rsidRPr="00BA274B">
        <w:rPr>
          <w:rFonts w:ascii="Calibri" w:eastAsia="Times New Roman" w:hAnsi="Calibri" w:cs="Calibri"/>
          <w:color w:val="000000"/>
          <w:lang w:val="da-DK" w:eastAsia="en-GB"/>
        </w:rPr>
        <w:t xml:space="preserve">. Er der perfekt negativ </w:t>
      </w:r>
      <w:proofErr w:type="spellStart"/>
      <w:r w:rsidRPr="00BA274B">
        <w:rPr>
          <w:rFonts w:ascii="Calibri" w:eastAsia="Times New Roman" w:hAnsi="Calibri" w:cs="Calibri"/>
          <w:color w:val="000000"/>
          <w:lang w:val="da-DK" w:eastAsia="en-GB"/>
        </w:rPr>
        <w:t>samvariation</w:t>
      </w:r>
      <w:proofErr w:type="spellEnd"/>
      <w:r w:rsidRPr="00BA274B">
        <w:rPr>
          <w:rFonts w:ascii="Calibri" w:eastAsia="Times New Roman" w:hAnsi="Calibri" w:cs="Calibri"/>
          <w:color w:val="000000"/>
          <w:lang w:val="da-DK" w:eastAsia="en-GB"/>
        </w:rPr>
        <w:t>, vil aktie A stige tilsvarende med et identisk fald i aktie B, og omvendt</w:t>
      </w:r>
    </w:p>
    <w:p w14:paraId="20291052" w14:textId="6263DCEC" w:rsidR="008740A3" w:rsidRPr="00BA274B" w:rsidRDefault="008740A3" w:rsidP="004D2C10">
      <w:pPr>
        <w:rPr>
          <w:rFonts w:ascii="Calibri" w:eastAsia="Times New Roman" w:hAnsi="Calibri" w:cs="Calibri"/>
          <w:color w:val="000000"/>
          <w:lang w:val="da-DK" w:eastAsia="en-GB"/>
        </w:rPr>
      </w:pPr>
    </w:p>
    <w:p w14:paraId="2C1F4059" w14:textId="70064CD7" w:rsidR="008740A3" w:rsidRPr="00BA274B" w:rsidRDefault="008740A3" w:rsidP="004D2C10">
      <w:pPr>
        <w:rPr>
          <w:rFonts w:ascii="Calibri" w:eastAsia="Times New Roman" w:hAnsi="Calibri" w:cs="Calibri"/>
          <w:b/>
          <w:bCs/>
          <w:color w:val="000000"/>
          <w:lang w:val="da-DK" w:eastAsia="en-GB"/>
        </w:rPr>
      </w:pPr>
      <w:r w:rsidRPr="00BA274B">
        <w:rPr>
          <w:rFonts w:ascii="Calibri" w:eastAsia="Times New Roman" w:hAnsi="Calibri" w:cs="Calibri"/>
          <w:b/>
          <w:bCs/>
          <w:color w:val="000000"/>
          <w:lang w:val="da-DK" w:eastAsia="en-GB"/>
        </w:rPr>
        <w:t xml:space="preserve">2.4 </w:t>
      </w:r>
    </w:p>
    <w:p w14:paraId="3CBEC027" w14:textId="2A7DAC2B" w:rsidR="008740A3" w:rsidRPr="00BA274B" w:rsidRDefault="008740A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Variansen udtryk ved hjælp af </w:t>
      </w:r>
      <m:oMath>
        <m:r>
          <w:rPr>
            <w:rFonts w:ascii="Cambria Math" w:eastAsia="Times New Roman" w:hAnsi="Cambria Math" w:cs="Calibri"/>
            <w:color w:val="000000"/>
            <w:lang w:val="da-DK" w:eastAsia="en-GB"/>
          </w:rPr>
          <m:t>ρ</m:t>
        </m:r>
      </m:oMath>
      <w:r w:rsidRPr="00BA274B">
        <w:rPr>
          <w:rFonts w:ascii="Calibri" w:eastAsia="Times New Roman" w:hAnsi="Calibri" w:cs="Calibri"/>
          <w:color w:val="000000"/>
          <w:lang w:val="da-DK" w:eastAsia="en-GB"/>
        </w:rPr>
        <w:t xml:space="preserve"> er følgende:  </w:t>
      </w:r>
    </w:p>
    <w:p w14:paraId="60FF01C9" w14:textId="77777777" w:rsidR="000127F2" w:rsidRPr="00BA274B" w:rsidRDefault="00186033" w:rsidP="004D2C10">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r>
            <m:rPr>
              <m:sty m:val="p"/>
            </m:rPr>
            <w:rPr>
              <w:rFonts w:ascii="Cambria Math" w:eastAsia="Times New Roman" w:hAnsi="Cambria Math" w:cs="Calibri"/>
              <w:color w:val="000000"/>
              <w:lang w:val="da-DK" w:eastAsia="en-GB"/>
            </w:rPr>
            <w:br/>
          </m:r>
        </m:oMath>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m:t>
          </m:r>
          <m:f>
            <m:fPr>
              <m:ctrlPr>
                <w:rPr>
                  <w:rFonts w:ascii="Cambria Math" w:eastAsia="Times New Roman" w:hAnsi="Cambria Math" w:cs="Calibri"/>
                  <w:i/>
                  <w:color w:val="000000"/>
                  <w:lang w:val="da-DK" w:eastAsia="en-GB"/>
                </w:rPr>
              </m:ctrlPr>
            </m:fPr>
            <m:num>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num>
            <m:den>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den>
          </m:f>
          <m:r>
            <m:rPr>
              <m:sty m:val="p"/>
            </m:rPr>
            <w:rPr>
              <w:rFonts w:ascii="Cambria Math" w:eastAsia="Times New Roman" w:hAnsi="Cambria Math" w:cs="Calibri"/>
              <w:color w:val="000000"/>
              <w:lang w:val="da-DK" w:eastAsia="en-GB"/>
            </w:rPr>
            <w:br/>
          </m:r>
        </m:oMath>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oMath>
      </m:oMathPara>
    </w:p>
    <w:p w14:paraId="67E2353F" w14:textId="77777777" w:rsidR="000127F2" w:rsidRPr="00BA274B" w:rsidRDefault="000127F2"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Herved kan udtrykket opstilles: </w:t>
      </w:r>
    </w:p>
    <w:p w14:paraId="1AE27329" w14:textId="332BDD25" w:rsidR="000127F2" w:rsidRPr="00BA274B" w:rsidRDefault="00186033" w:rsidP="004D2C10">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oMath>
      </m:oMathPara>
    </w:p>
    <w:p w14:paraId="6388D406" w14:textId="2DEBDC8D" w:rsidR="008740A3" w:rsidRPr="00BA274B" w:rsidRDefault="000127F2"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Efterfølgende kan antallet af variabler forkortes ved at indsætte udtrykket. </w:t>
      </w:r>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oMath>
    </w:p>
    <w:p w14:paraId="739AA332" w14:textId="0E9EE18F" w:rsidR="001844EE" w:rsidRPr="00BA274B" w:rsidRDefault="00186033" w:rsidP="001844EE">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oMath>
      </m:oMathPara>
    </w:p>
    <w:p w14:paraId="003FE15A" w14:textId="24D9EC19" w:rsidR="001844EE" w:rsidRPr="00BA274B" w:rsidRDefault="001844EE" w:rsidP="001844EE">
      <w:pPr>
        <w:rPr>
          <w:rFonts w:ascii="Calibri" w:eastAsia="Times New Roman" w:hAnsi="Calibri" w:cs="Calibri"/>
          <w:color w:val="000000"/>
          <w:lang w:val="da-DK" w:eastAsia="en-GB"/>
        </w:rPr>
      </w:pPr>
    </w:p>
    <w:p w14:paraId="08AC39E6" w14:textId="28023389" w:rsidR="001844EE" w:rsidRPr="00BA274B" w:rsidRDefault="001844EE" w:rsidP="001844EE">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Ved en given vægt for A, kan korrelationskoefficienten udledes. Vi vægter værdipapir A til 0,5 for at bevise dette. Heraf følger: </w:t>
      </w:r>
    </w:p>
    <w:p w14:paraId="57433D05" w14:textId="06973867" w:rsidR="001844EE" w:rsidRPr="00BA274B" w:rsidRDefault="00186033" w:rsidP="001844EE">
      <w:pPr>
        <w:ind w:left="720" w:firstLine="720"/>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1-0,5</m:t>
                  </m:r>
                </m:e>
              </m:d>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+2·0,5·</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1-0,5</m:t>
              </m:r>
            </m:e>
          </m:d>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·0,11·0,08</m:t>
          </m:r>
          <m:r>
            <m:rPr>
              <m:sty m:val="p"/>
            </m:rPr>
            <w:rPr>
              <w:rFonts w:ascii="Cambria Math" w:eastAsia="Times New Roman" w:hAnsi="Cambria Math" w:cs="Calibri"/>
              <w:color w:val="000000"/>
              <w:lang w:val="da-DK" w:eastAsia="en-GB"/>
            </w:rPr>
            <w:br/>
          </m:r>
        </m:oMath>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+2·0,5·0,5</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·0,11·0,08=0,009025</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w:br/>
          </m:r>
        </m:oMath>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r>
            <w:rPr>
              <w:rFonts w:ascii="Cambria Math" w:eastAsia="Times New Roman" w:hAnsi="Cambria Math" w:cs="Calibri"/>
              <w:color w:val="000000"/>
              <w:lang w:val="da-DK" w:eastAsia="en-GB"/>
            </w:rPr>
            <m:t>0,009025</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oMath>
      </m:oMathPara>
    </w:p>
    <w:p w14:paraId="72DCE005" w14:textId="6A0AF3D2" w:rsidR="00CA7613" w:rsidRPr="00BA274B" w:rsidRDefault="00CA7613" w:rsidP="00CA7613">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Porteføljevariansen afhænger af en konstant multipliceret med korrelationskoefficienten </w:t>
      </w:r>
      <m:oMath>
        <m:r>
          <w:rPr>
            <w:rFonts w:ascii="Cambria Math" w:eastAsia="Times New Roman" w:hAnsi="Cambria Math" w:cs="Calibri"/>
            <w:color w:val="000000"/>
            <w:lang w:val="da-DK" w:eastAsia="en-GB"/>
          </w:rPr>
          <m:t>ρ</m:t>
        </m:r>
      </m:oMath>
      <w:r w:rsidRPr="00BA274B">
        <w:rPr>
          <w:rFonts w:ascii="Calibri" w:eastAsia="Times New Roman" w:hAnsi="Calibri" w:cs="Calibri"/>
          <w:color w:val="000000"/>
          <w:lang w:val="da-DK" w:eastAsia="en-GB"/>
        </w:rPr>
        <w:t xml:space="preserve">, når vi har en given værdi for porteføljevægten A. </w:t>
      </w:r>
    </w:p>
    <w:p w14:paraId="4138A976" w14:textId="4C7410BE" w:rsidR="00CA7613" w:rsidRPr="00BA274B" w:rsidRDefault="00CA7613" w:rsidP="00CA7613">
      <w:pPr>
        <w:rPr>
          <w:rFonts w:ascii="Calibri" w:eastAsia="Times New Roman" w:hAnsi="Calibri" w:cs="Calibri"/>
          <w:color w:val="000000"/>
          <w:lang w:val="da-DK" w:eastAsia="en-GB"/>
        </w:rPr>
      </w:pPr>
    </w:p>
    <w:p w14:paraId="1BB32DCE" w14:textId="43F0F713" w:rsidR="00CA7613" w:rsidRPr="00BA274B" w:rsidRDefault="00CA7613" w:rsidP="00CA7613">
      <w:pPr>
        <w:rPr>
          <w:rFonts w:ascii="Calibri" w:eastAsia="Times New Roman" w:hAnsi="Calibri" w:cs="Calibri"/>
          <w:color w:val="000000"/>
          <w:lang w:val="da-DK" w:eastAsia="en-GB"/>
        </w:rPr>
      </w:pPr>
    </w:p>
    <w:p w14:paraId="0E43796F" w14:textId="4D964F85" w:rsidR="00CA7613" w:rsidRPr="00BA274B" w:rsidRDefault="00CA7613" w:rsidP="00CA7613">
      <w:pPr>
        <w:rPr>
          <w:rFonts w:ascii="Calibri" w:eastAsia="Times New Roman" w:hAnsi="Calibri" w:cs="Calibri"/>
          <w:color w:val="000000"/>
          <w:lang w:val="da-DK" w:eastAsia="en-GB"/>
        </w:rPr>
      </w:pPr>
    </w:p>
    <w:p w14:paraId="1A758400" w14:textId="2955AFF2" w:rsidR="00CA7613" w:rsidRPr="00BA274B" w:rsidRDefault="00CA7613" w:rsidP="00CA7613">
      <w:pPr>
        <w:rPr>
          <w:rFonts w:ascii="Calibri" w:eastAsia="Times New Roman" w:hAnsi="Calibri" w:cs="Calibri"/>
          <w:color w:val="000000"/>
          <w:lang w:val="da-DK" w:eastAsia="en-GB"/>
        </w:rPr>
      </w:pPr>
    </w:p>
    <w:p w14:paraId="574B9661" w14:textId="09D4DB50" w:rsidR="00CA7613" w:rsidRPr="00BA274B" w:rsidRDefault="00CA7613" w:rsidP="00CA7613">
      <w:pPr>
        <w:rPr>
          <w:rFonts w:ascii="Calibri" w:eastAsia="Times New Roman" w:hAnsi="Calibri" w:cs="Calibri"/>
          <w:color w:val="000000"/>
          <w:lang w:val="da-DK" w:eastAsia="en-GB"/>
        </w:rPr>
      </w:pPr>
    </w:p>
    <w:p w14:paraId="45EE37E5" w14:textId="5EE32FFF" w:rsidR="00CA7613" w:rsidRPr="00BA274B" w:rsidRDefault="00CA7613" w:rsidP="00CA7613">
      <w:pPr>
        <w:rPr>
          <w:rFonts w:ascii="Calibri" w:eastAsia="Times New Roman" w:hAnsi="Calibri" w:cs="Calibri"/>
          <w:color w:val="000000"/>
          <w:lang w:val="da-DK" w:eastAsia="en-GB"/>
        </w:rPr>
      </w:pPr>
    </w:p>
    <w:p w14:paraId="4CB52161" w14:textId="77777777" w:rsidR="00CA7613" w:rsidRPr="00BA274B" w:rsidRDefault="00CA7613" w:rsidP="00CA7613">
      <w:pPr>
        <w:rPr>
          <w:rFonts w:ascii="Calibri" w:eastAsia="Times New Roman" w:hAnsi="Calibri" w:cs="Calibri"/>
          <w:color w:val="000000"/>
          <w:lang w:val="da-DK" w:eastAsia="en-GB"/>
        </w:rPr>
      </w:pPr>
    </w:p>
    <w:p w14:paraId="20E750F3" w14:textId="72F7EB78" w:rsidR="00CA7613" w:rsidRPr="00BA274B" w:rsidRDefault="00CA7613" w:rsidP="00CA7613">
      <w:pPr>
        <w:rPr>
          <w:rFonts w:ascii="Calibri" w:eastAsia="Times New Roman" w:hAnsi="Calibri" w:cs="Calibri"/>
          <w:b/>
          <w:bCs/>
          <w:color w:val="000000"/>
          <w:lang w:val="da-DK" w:eastAsia="en-GB"/>
        </w:rPr>
      </w:pPr>
      <w:r w:rsidRPr="00BA274B">
        <w:rPr>
          <w:rFonts w:ascii="Calibri" w:eastAsia="Times New Roman" w:hAnsi="Calibri" w:cs="Calibri"/>
          <w:b/>
          <w:bCs/>
          <w:color w:val="000000"/>
          <w:lang w:val="da-DK" w:eastAsia="en-GB"/>
        </w:rPr>
        <w:lastRenderedPageBreak/>
        <w:t xml:space="preserve">2.5 </w:t>
      </w:r>
    </w:p>
    <w:p w14:paraId="2C11533B" w14:textId="707D5868" w:rsidR="00CA7613" w:rsidRPr="00BA274B" w:rsidRDefault="00CA7613" w:rsidP="00CA7613">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Da værdipapirerne er </w:t>
      </w:r>
      <w:r w:rsidR="0006576A" w:rsidRPr="00BA274B">
        <w:rPr>
          <w:rFonts w:ascii="Calibri" w:eastAsia="Times New Roman" w:hAnsi="Calibri" w:cs="Calibri"/>
          <w:color w:val="000000"/>
          <w:lang w:val="da-DK" w:eastAsia="en-GB"/>
        </w:rPr>
        <w:t>ukorreleret</w:t>
      </w:r>
      <w:r w:rsidRPr="00BA274B">
        <w:rPr>
          <w:rFonts w:ascii="Calibri" w:eastAsia="Times New Roman" w:hAnsi="Calibri" w:cs="Calibri"/>
          <w:color w:val="000000"/>
          <w:lang w:val="da-DK" w:eastAsia="en-GB"/>
        </w:rPr>
        <w:t xml:space="preserve">, indsættes 0 i ligningen i stedet for </w:t>
      </w:r>
      <w:proofErr w:type="spellStart"/>
      <w:r w:rsidRPr="00BA274B">
        <w:rPr>
          <w:rFonts w:ascii="Calibri" w:eastAsia="Times New Roman" w:hAnsi="Calibri" w:cs="Calibri"/>
          <w:color w:val="000000"/>
          <w:lang w:val="da-DK" w:eastAsia="en-GB"/>
        </w:rPr>
        <w:t>rho</w:t>
      </w:r>
      <w:proofErr w:type="spellEnd"/>
    </w:p>
    <w:p w14:paraId="1C80A74C" w14:textId="77777777" w:rsidR="001844EE" w:rsidRPr="00BA274B" w:rsidRDefault="001844EE" w:rsidP="001844EE">
      <w:pPr>
        <w:rPr>
          <w:rFonts w:ascii="Calibri" w:eastAsia="Times New Roman" w:hAnsi="Calibri" w:cs="Calibri"/>
          <w:color w:val="000000"/>
          <w:lang w:val="da-DK" w:eastAsia="en-GB"/>
        </w:rPr>
      </w:pPr>
    </w:p>
    <w:p w14:paraId="7C958F2B" w14:textId="614EC4E9" w:rsidR="00CA7613" w:rsidRPr="00BA274B" w:rsidRDefault="00CA7613" w:rsidP="004D2C10">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r>
            <w:rPr>
              <w:rFonts w:ascii="Cambria Math" w:eastAsia="Times New Roman" w:hAnsi="Cambria Math" w:cs="Calibri"/>
              <w:color w:val="000000"/>
              <w:lang w:val="da-DK" w:eastAsia="en-GB"/>
            </w:rPr>
            <m:t>·0</m:t>
          </m:r>
          <m:r>
            <w:rPr>
              <w:rFonts w:ascii="Cambria Math" w:eastAsia="Times New Roman" w:hAnsi="Cambria Math" w:cs="Calibri"/>
              <w:color w:val="000000"/>
              <w:lang w:val="da-DK" w:eastAsia="en-GB"/>
            </w:rPr>
            <m:t>·0,11·0,08</m:t>
          </m:r>
        </m:oMath>
      </m:oMathPara>
    </w:p>
    <w:p w14:paraId="1AE6B524" w14:textId="77777777" w:rsidR="00CA7613" w:rsidRPr="00BA274B" w:rsidRDefault="00CA761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Ved </w:t>
      </w:r>
      <w:proofErr w:type="spellStart"/>
      <w:r w:rsidRPr="00BA274B">
        <w:rPr>
          <w:rFonts w:ascii="Calibri" w:eastAsia="Times New Roman" w:hAnsi="Calibri" w:cs="Calibri"/>
          <w:color w:val="000000"/>
          <w:lang w:val="da-DK" w:eastAsia="en-GB"/>
        </w:rPr>
        <w:t>ukorrelede</w:t>
      </w:r>
      <w:proofErr w:type="spellEnd"/>
      <w:r w:rsidRPr="00BA274B">
        <w:rPr>
          <w:rFonts w:ascii="Calibri" w:eastAsia="Times New Roman" w:hAnsi="Calibri" w:cs="Calibri"/>
          <w:color w:val="000000"/>
          <w:lang w:val="da-DK" w:eastAsia="en-GB"/>
        </w:rPr>
        <w:t xml:space="preserve"> værdipapirer udgår det sidste led. Her af følger: </w:t>
      </w:r>
    </w:p>
    <w:p w14:paraId="3450ACAF" w14:textId="77777777" w:rsidR="00801273" w:rsidRPr="00BA274B" w:rsidRDefault="00CA7613" w:rsidP="004D2C10">
      <w:pPr>
        <w:rPr>
          <w:rFonts w:ascii="Calibri" w:eastAsia="Times New Roman" w:hAnsi="Calibri" w:cs="Calibri"/>
          <w:color w:val="000000"/>
          <w:lang w:val="da-DK" w:eastAsia="en-GB"/>
        </w:rPr>
      </w:pPr>
      <m:oMathPara>
        <m:oMathParaPr>
          <m:jc m:val="center"/>
        </m:oMathParaPr>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d>
            <m:dPr>
              <m:ctrlPr>
                <w:rPr>
                  <w:rFonts w:ascii="Cambria Math" w:eastAsia="Times New Roman" w:hAnsi="Cambria Math" w:cs="Calibri"/>
                  <w:i/>
                  <w:color w:val="000000"/>
                  <w:lang w:val="da-DK" w:eastAsia="en-GB"/>
                </w:rPr>
              </m:ctrlPr>
            </m:dPr>
            <m:e>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e>
          </m:d>
          <m:r>
            <w:rPr>
              <w:rFonts w:ascii="Cambria Math" w:eastAsia="Times New Roman" w:hAnsi="Cambria Math" w:cs="Calibri"/>
              <w:color w:val="000000"/>
              <w:lang w:val="da-DK" w:eastAsia="en-GB"/>
            </w:rPr>
            <m:t>´</m:t>
          </m:r>
        </m:oMath>
      </m:oMathPara>
    </w:p>
    <w:p w14:paraId="3AA2CE04" w14:textId="68A6EFA5" w:rsidR="00801273" w:rsidRPr="00BA274B" w:rsidRDefault="00801273" w:rsidP="004D2C10">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Vi bruger førsteordensbetingelse for at vægten for A, der minimere variansen.</w:t>
      </w:r>
    </w:p>
    <w:p w14:paraId="5FB1F3C8" w14:textId="35B68CA8" w:rsidR="00F778E2" w:rsidRPr="00BA274B" w:rsidRDefault="00801273" w:rsidP="00F778E2">
      <w:pPr>
        <w:rPr>
          <w:rFonts w:ascii="Calibri" w:eastAsia="Times New Roman" w:hAnsi="Calibri" w:cs="Calibri"/>
          <w:color w:val="000000"/>
          <w:lang w:val="da-DK" w:eastAsia="en-GB"/>
        </w:rPr>
      </w:pPr>
      <m:oMathPara>
        <m:oMath>
          <m:d>
            <m:dPr>
              <m:ctrlPr>
                <w:rPr>
                  <w:rFonts w:ascii="Cambria Math" w:eastAsia="Times New Roman" w:hAnsi="Cambria Math" w:cs="Calibri"/>
                  <w:i/>
                  <w:color w:val="000000"/>
                  <w:lang w:val="da-DK" w:eastAsia="en-GB"/>
                </w:rPr>
              </m:ctrlPr>
            </m:dPr>
            <m:e>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e>
          </m:d>
          <m:r>
            <w:rPr>
              <w:rFonts w:ascii="Cambria Math" w:eastAsia="Times New Roman" w:hAnsi="Cambria Math" w:cs="Calibri"/>
              <w:color w:val="000000"/>
              <w:lang w:val="da-DK" w:eastAsia="en-GB"/>
            </w:rPr>
            <m:t>´</m:t>
          </m:r>
          <m:r>
            <w:rPr>
              <w:rFonts w:ascii="Cambria Math" w:eastAsia="Times New Roman" w:hAnsi="Cambria Math" w:cs="Calibri"/>
              <w:color w:val="000000"/>
              <w:lang w:val="da-DK" w:eastAsia="en-GB"/>
            </w:rPr>
            <m:t>=0</m:t>
          </m:r>
        </m:oMath>
      </m:oMathPara>
    </w:p>
    <w:p w14:paraId="38832B56" w14:textId="373EEBDD" w:rsidR="00F778E2" w:rsidRPr="00222897" w:rsidRDefault="00222897" w:rsidP="00F778E2">
      <w:pPr>
        <w:rPr>
          <w:rFonts w:ascii="Calibri" w:eastAsia="Times New Roman" w:hAnsi="Calibri" w:cs="Calibri"/>
          <w:color w:val="000000"/>
          <w:lang w:val="da-DK" w:eastAsia="en-GB"/>
        </w:rPr>
      </w:pPr>
      <m:oMathPara>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=0,35</m:t>
          </m:r>
        </m:oMath>
      </m:oMathPara>
    </w:p>
    <w:p w14:paraId="03EB472B" w14:textId="1E53BC94" w:rsidR="00222897" w:rsidRDefault="00222897" w:rsidP="00F778E2">
      <w:pPr>
        <w:rPr>
          <w:rFonts w:ascii="Calibri" w:eastAsia="Times New Roman" w:hAnsi="Calibri" w:cs="Calibri"/>
          <w:color w:val="000000"/>
          <w:lang w:val="da-DK" w:eastAsia="en-GB"/>
        </w:rPr>
      </w:pPr>
      <w:r>
        <w:rPr>
          <w:rFonts w:ascii="Calibri" w:eastAsia="Times New Roman" w:hAnsi="Calibri" w:cs="Calibri"/>
          <w:color w:val="000000"/>
          <w:lang w:val="da-DK" w:eastAsia="en-GB"/>
        </w:rPr>
        <w:t xml:space="preserve">Standardafvigelsen beregnes derfor til: </w:t>
      </w:r>
    </w:p>
    <w:p w14:paraId="665C4695" w14:textId="3B91FD97" w:rsidR="00EB03BD" w:rsidRPr="00D44E95" w:rsidRDefault="00222897" w:rsidP="00D44E95">
      <w:pPr>
        <w:jc w:val="cente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=0,35·</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0,11</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1-0,35</m:t>
                  </m:r>
                </m:e>
              </m:d>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0,08</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0,006939</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 xml:space="preserve"> </m:t>
          </m:r>
          <m:r>
            <w:rPr>
              <w:rFonts w:ascii="Calibri" w:eastAsia="Times New Roman" w:hAnsi="Calibri" w:cs="Calibri"/>
              <w:color w:val="000000"/>
              <w:lang w:val="da-DK" w:eastAsia="en-GB"/>
            </w:rPr>
            <w:br/>
          </m:r>
        </m:oMath>
        <m:oMath>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e>
          </m:rad>
          <m:r>
            <w:rPr>
              <w:rFonts w:ascii="Cambria Math" w:eastAsia="Times New Roman" w:hAnsi="Cambria Math" w:cs="Calibri"/>
              <w:color w:val="000000"/>
              <w:lang w:val="da-DK" w:eastAsia="en-GB"/>
            </w:rPr>
            <m:t>=</m:t>
          </m:r>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0,006939</m:t>
                  </m:r>
                </m:e>
                <m:sup>
                  <m:r>
                    <w:rPr>
                      <w:rFonts w:ascii="Cambria Math" w:eastAsia="Times New Roman" w:hAnsi="Cambria Math" w:cs="Calibri"/>
                      <w:color w:val="000000"/>
                      <w:lang w:val="da-DK" w:eastAsia="en-GB"/>
                    </w:rPr>
                    <m:t>2</m:t>
                  </m:r>
                </m:sup>
              </m:sSup>
            </m:e>
          </m:rad>
          <m:r>
            <w:rPr>
              <w:rFonts w:ascii="Cambria Math" w:eastAsia="Times New Roman" w:hAnsi="Cambria Math" w:cs="Calibri"/>
              <w:color w:val="000000"/>
              <w:lang w:val="da-DK" w:eastAsia="en-GB"/>
            </w:rPr>
            <w:br/>
          </m:r>
        </m:oMath>
        <m:oMath>
          <m:r>
            <w:rPr>
              <w:rFonts w:ascii="Cambria Math" w:eastAsia="Times New Roman" w:hAnsi="Cambria Math" w:cs="Calibri"/>
              <w:color w:val="000000"/>
              <w:lang w:val="da-DK" w:eastAsia="en-GB"/>
            </w:rPr>
            <m:t>σ=</m:t>
          </m:r>
          <m:r>
            <w:rPr>
              <w:rFonts w:ascii="Cambria Math" w:eastAsia="Times New Roman" w:hAnsi="Cambria Math" w:cs="Calibri"/>
              <w:color w:val="000000"/>
              <w:lang w:val="da-DK" w:eastAsia="en-GB"/>
            </w:rPr>
            <m:t>0,6939%</m:t>
          </m:r>
        </m:oMath>
      </m:oMathPara>
    </w:p>
    <w:p w14:paraId="2E8A9369" w14:textId="5B95B765" w:rsidR="004C79F5" w:rsidRPr="00BA274B" w:rsidRDefault="004C79F5" w:rsidP="00F778E2">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Den optimale vægtning af værdipapiret A er derfor 35% af porteføljen for at minimere risikoen. Ud fra dette skal 65% af porteføljen ligge i værdipapir B. </w:t>
      </w:r>
    </w:p>
    <w:p w14:paraId="2206E12C" w14:textId="7CF9259B" w:rsidR="004C79F5" w:rsidRPr="00BA274B" w:rsidRDefault="004C79F5" w:rsidP="00F778E2">
      <w:pPr>
        <w:rPr>
          <w:rFonts w:ascii="Calibri" w:eastAsia="Times New Roman" w:hAnsi="Calibri" w:cs="Calibri"/>
          <w:color w:val="000000"/>
          <w:lang w:val="da-DK" w:eastAsia="en-GB"/>
        </w:rPr>
      </w:pPr>
    </w:p>
    <w:p w14:paraId="7D24963A" w14:textId="0046C685" w:rsidR="004C79F5" w:rsidRPr="00BA274B" w:rsidRDefault="004C79F5" w:rsidP="00F778E2">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Ud fra diversifikationsprincippet bør investoren investere i begge værdipapirer, selvom værdipapir B har en lavere standardafvigelsen end A. Altså mindre risiko. En portefølje bestående af begge værdipapirer formår at sprede risikoen ud, således at den samlede risiko minimeres til at være lig eller mindre end det vægtede gennemsnit af de enkelte værdipapirers risiko. Ud fra diversifikationsprincippet kan det siges, at en stor nok spredning vil fjerne individuelle værdipapirernes risiko, og man vil dermed kun have markedsrisikoen tilbage. </w:t>
      </w:r>
    </w:p>
    <w:p w14:paraId="6FDB6008" w14:textId="363A81DB" w:rsidR="004C79F5" w:rsidRPr="00BA274B" w:rsidRDefault="004C79F5" w:rsidP="00F778E2">
      <w:pPr>
        <w:rPr>
          <w:rFonts w:ascii="Calibri" w:eastAsia="Times New Roman" w:hAnsi="Calibri" w:cs="Calibri"/>
          <w:color w:val="000000"/>
          <w:lang w:val="da-DK" w:eastAsia="en-GB"/>
        </w:rPr>
      </w:pPr>
    </w:p>
    <w:p w14:paraId="118CFFC5" w14:textId="5DD08C85" w:rsidR="004C79F5" w:rsidRPr="00BA274B" w:rsidRDefault="004C79F5" w:rsidP="00F778E2">
      <w:pPr>
        <w:rPr>
          <w:rFonts w:ascii="Calibri" w:eastAsia="Times New Roman" w:hAnsi="Calibri" w:cs="Calibri"/>
          <w:b/>
          <w:bCs/>
          <w:color w:val="000000"/>
          <w:lang w:val="da-DK" w:eastAsia="en-GB"/>
        </w:rPr>
      </w:pPr>
      <w:r w:rsidRPr="00BA274B">
        <w:rPr>
          <w:rFonts w:ascii="Calibri" w:eastAsia="Times New Roman" w:hAnsi="Calibri" w:cs="Calibri"/>
          <w:b/>
          <w:bCs/>
          <w:color w:val="000000"/>
          <w:lang w:val="da-DK" w:eastAsia="en-GB"/>
        </w:rPr>
        <w:t xml:space="preserve">2.6 </w:t>
      </w:r>
    </w:p>
    <w:p w14:paraId="5466BD11" w14:textId="04701CCE" w:rsidR="0006576A" w:rsidRPr="00BA274B" w:rsidRDefault="0006576A" w:rsidP="00F778E2">
      <w:pPr>
        <w:rPr>
          <w:rFonts w:ascii="Calibri" w:eastAsia="Times New Roman" w:hAnsi="Calibri" w:cs="Calibri"/>
          <w:color w:val="000000"/>
          <w:lang w:val="da-DK" w:eastAsia="en-GB"/>
        </w:rPr>
      </w:pPr>
      <w:r w:rsidRPr="00BA274B">
        <w:rPr>
          <w:rFonts w:ascii="Calibri" w:eastAsia="Times New Roman" w:hAnsi="Calibri" w:cs="Calibri"/>
          <w:color w:val="000000"/>
          <w:lang w:val="da-DK" w:eastAsia="en-GB"/>
        </w:rPr>
        <w:t xml:space="preserve">Er der perfekt korrelation mellem de to værdipapirer, korrelationskoefficient lig 1, så vil investoren placere hele sin portefølje i værdipapiret B, da denne har lavere risiko. Derfor en højere chance for at opnå afkast, selvom en spredning er mulig. Er korrelationskoefficienten lig 1, virker diversifikationsprincippet altså ikke. Des højere </w:t>
      </w:r>
      <w:proofErr w:type="spellStart"/>
      <w:r w:rsidRPr="00BA274B">
        <w:rPr>
          <w:rFonts w:ascii="Calibri" w:eastAsia="Times New Roman" w:hAnsi="Calibri" w:cs="Calibri"/>
          <w:color w:val="000000"/>
          <w:lang w:val="da-DK" w:eastAsia="en-GB"/>
        </w:rPr>
        <w:t>samvariation</w:t>
      </w:r>
      <w:proofErr w:type="spellEnd"/>
      <w:r w:rsidRPr="00BA274B">
        <w:rPr>
          <w:rFonts w:ascii="Calibri" w:eastAsia="Times New Roman" w:hAnsi="Calibri" w:cs="Calibri"/>
          <w:color w:val="000000"/>
          <w:lang w:val="da-DK" w:eastAsia="en-GB"/>
        </w:rPr>
        <w:t xml:space="preserve">, des lavere nytte af diversifikationsprincippet og mere nytte af de individuelle risiko. </w:t>
      </w:r>
    </w:p>
    <w:p w14:paraId="369EF3AC" w14:textId="0AF6DDF6" w:rsidR="0006576A" w:rsidRPr="00BA274B" w:rsidRDefault="0006576A" w:rsidP="00F778E2">
      <w:pPr>
        <w:rPr>
          <w:rFonts w:ascii="Calibri" w:eastAsia="Times New Roman" w:hAnsi="Calibri" w:cs="Calibri"/>
          <w:color w:val="000000"/>
          <w:lang w:val="da-DK" w:eastAsia="en-GB"/>
        </w:rPr>
      </w:pPr>
    </w:p>
    <w:p w14:paraId="2961AB48" w14:textId="342C3A45" w:rsidR="00BA274B" w:rsidRPr="00823E4D" w:rsidRDefault="0006576A" w:rsidP="00BA274B">
      <w:pPr>
        <w:rPr>
          <w:rFonts w:ascii="Calibri" w:eastAsia="Times New Roman" w:hAnsi="Calibri" w:cs="Calibri"/>
          <w:b/>
          <w:bCs/>
          <w:color w:val="000000"/>
          <w:lang w:val="da-DK" w:eastAsia="en-GB"/>
        </w:rPr>
      </w:pPr>
      <w:r w:rsidRPr="00BA274B">
        <w:rPr>
          <w:rFonts w:ascii="Calibri" w:eastAsia="Times New Roman" w:hAnsi="Calibri" w:cs="Calibri"/>
          <w:b/>
          <w:bCs/>
          <w:color w:val="000000"/>
          <w:lang w:val="da-DK" w:eastAsia="en-GB"/>
        </w:rPr>
        <w:t>2.7</w:t>
      </w:r>
    </w:p>
    <w:p w14:paraId="1DC7DD6A" w14:textId="14A8F4C3" w:rsidR="00BA274B" w:rsidRDefault="00135E03" w:rsidP="00BA274B">
      <w:pPr>
        <w:rPr>
          <w:rFonts w:ascii="Calibri" w:eastAsia="Times New Roman" w:hAnsi="Calibri" w:cs="Calibri"/>
          <w:color w:val="000000"/>
          <w:bdr w:val="none" w:sz="0" w:space="0" w:color="auto" w:frame="1"/>
          <w:lang w:val="da-DK" w:eastAsia="en-GB"/>
        </w:rPr>
      </w:pPr>
      <w:r>
        <w:rPr>
          <w:rFonts w:ascii="Calibri" w:eastAsia="Times New Roman" w:hAnsi="Calibri" w:cs="Calibri"/>
          <w:color w:val="000000"/>
          <w:bdr w:val="none" w:sz="0" w:space="0" w:color="auto" w:frame="1"/>
          <w:lang w:val="da-DK" w:eastAsia="en-GB"/>
        </w:rPr>
        <w:t xml:space="preserve">Ud fra historiske afkast kan man give et empirisk bud på det fremtidige afkast, risikoen og samvariationen mellem værdipapirerne. </w:t>
      </w:r>
      <w:r w:rsidR="00823E4D">
        <w:rPr>
          <w:rFonts w:ascii="Calibri" w:eastAsia="Times New Roman" w:hAnsi="Calibri" w:cs="Calibri"/>
          <w:color w:val="000000"/>
          <w:bdr w:val="none" w:sz="0" w:space="0" w:color="auto" w:frame="1"/>
          <w:lang w:val="da-DK" w:eastAsia="en-GB"/>
        </w:rPr>
        <w:t xml:space="preserve">Dette er dog et vagt argument i praksis, eftersom fremtiden kan afhænge af andre faktorer end fortidige afkast. Typen af virksomheden, såsom Microsoft, vil historisk have haft stort afkast, men i de kommende år kan samme tilvækst ikke forventes, da de historiske afkast baseres på ny banebrydende innovation, der på nuværende tidspunkt er anerkendt og brugt at flere markedsførende virksomheder. </w:t>
      </w:r>
    </w:p>
    <w:p w14:paraId="13A02927" w14:textId="025783AE" w:rsidR="00135E03" w:rsidRDefault="00135E03" w:rsidP="00BA274B">
      <w:pPr>
        <w:rPr>
          <w:rFonts w:ascii="Calibri" w:eastAsia="Times New Roman" w:hAnsi="Calibri" w:cs="Calibri"/>
          <w:color w:val="000000"/>
          <w:bdr w:val="none" w:sz="0" w:space="0" w:color="auto" w:frame="1"/>
          <w:lang w:val="da-DK" w:eastAsia="en-GB"/>
        </w:rPr>
      </w:pPr>
    </w:p>
    <w:p w14:paraId="72635AC3" w14:textId="6BD37225" w:rsidR="00135E03" w:rsidRDefault="00135E03" w:rsidP="00BA274B">
      <w:pPr>
        <w:rPr>
          <w:rFonts w:ascii="Calibri" w:eastAsia="Times New Roman" w:hAnsi="Calibri" w:cs="Calibri"/>
          <w:color w:val="000000"/>
          <w:bdr w:val="none" w:sz="0" w:space="0" w:color="auto" w:frame="1"/>
          <w:lang w:val="da-DK" w:eastAsia="en-GB"/>
        </w:rPr>
      </w:pPr>
      <w:r>
        <w:rPr>
          <w:rFonts w:ascii="Calibri" w:eastAsia="Times New Roman" w:hAnsi="Calibri" w:cs="Calibri"/>
          <w:color w:val="000000"/>
          <w:bdr w:val="none" w:sz="0" w:space="0" w:color="auto" w:frame="1"/>
          <w:lang w:val="da-DK" w:eastAsia="en-GB"/>
        </w:rPr>
        <w:t xml:space="preserve">Estimatet for det forventede afkast beregnes ud fra et aritmetisk gennemsnit af historiske afkast. Risikoen kan opdeles i to variansen og standardafvigelse. Variansen beregnes findes ved at tage den gennemsnitlige kvadrede afvigelse fra gennemsnittet. Denne måde opvejer negative værdier. Standardafvigelsen er kvadratroden af variansen. Kovariansen udtrykker hvor meget to stokastiske variabler samvarierer. Denne findes ved at tage middelværdien af produktet mellem variablernes afvigelser fratrukket det fremtidige afkast. </w:t>
      </w:r>
    </w:p>
    <w:p w14:paraId="29CEED2E" w14:textId="026DBB62" w:rsidR="00823E4D" w:rsidRDefault="00823E4D" w:rsidP="00BA274B">
      <w:pPr>
        <w:rPr>
          <w:rFonts w:ascii="Calibri" w:eastAsia="Times New Roman" w:hAnsi="Calibri" w:cs="Calibri"/>
          <w:color w:val="000000"/>
          <w:bdr w:val="none" w:sz="0" w:space="0" w:color="auto" w:frame="1"/>
          <w:lang w:val="da-DK" w:eastAsia="en-GB"/>
        </w:rPr>
      </w:pPr>
    </w:p>
    <w:p w14:paraId="46BA3E85" w14:textId="6C202878" w:rsidR="00823E4D" w:rsidRDefault="00823E4D" w:rsidP="00BA274B">
      <w:pPr>
        <w:rPr>
          <w:rFonts w:ascii="Calibri" w:eastAsia="Times New Roman" w:hAnsi="Calibri" w:cs="Calibri"/>
          <w:color w:val="000000"/>
          <w:bdr w:val="none" w:sz="0" w:space="0" w:color="auto" w:frame="1"/>
          <w:lang w:val="da-DK" w:eastAsia="en-GB"/>
        </w:rPr>
      </w:pPr>
      <w:r>
        <w:rPr>
          <w:rFonts w:ascii="Calibri" w:eastAsia="Times New Roman" w:hAnsi="Calibri" w:cs="Calibri"/>
          <w:color w:val="000000"/>
          <w:bdr w:val="none" w:sz="0" w:space="0" w:color="auto" w:frame="1"/>
          <w:lang w:val="da-DK" w:eastAsia="en-GB"/>
        </w:rPr>
        <w:lastRenderedPageBreak/>
        <w:t xml:space="preserve">Nedenfor ses de beregnede værdier ud fra historiske afkast for forventet afkast, varians, standardafvigelse og kovarians. </w:t>
      </w:r>
    </w:p>
    <w:p w14:paraId="2B52E36F" w14:textId="7FA6A9AE" w:rsidR="000127F2" w:rsidRPr="00823E4D" w:rsidRDefault="00823E4D" w:rsidP="00823E4D">
      <w:pPr>
        <w:spacing w:after="40"/>
        <w:rPr>
          <w:rFonts w:ascii="Calibri" w:eastAsia="Times New Roman" w:hAnsi="Calibri" w:cs="Calibri"/>
          <w:i/>
          <w:color w:val="808080"/>
          <w:lang w:val="da-DK" w:eastAsia="en-GB"/>
        </w:rPr>
      </w:pPr>
      <w:r w:rsidRPr="00BA274B">
        <w:rPr>
          <w:rFonts w:ascii="Calibri" w:eastAsia="Times New Roman" w:hAnsi="Calibri" w:cs="Calibri"/>
          <w:noProof/>
          <w:color w:val="000000"/>
          <w:bdr w:val="none" w:sz="0" w:space="0" w:color="auto" w:frame="1"/>
          <w:lang w:val="da-DK" w:eastAsia="en-GB"/>
        </w:rPr>
        <w:drawing>
          <wp:anchor distT="0" distB="0" distL="114300" distR="114300" simplePos="0" relativeHeight="251658240" behindDoc="1" locked="0" layoutInCell="1" allowOverlap="1" wp14:anchorId="6F9A3794" wp14:editId="6FF0667B">
            <wp:simplePos x="0" y="0"/>
            <wp:positionH relativeFrom="column">
              <wp:posOffset>584200</wp:posOffset>
            </wp:positionH>
            <wp:positionV relativeFrom="paragraph">
              <wp:posOffset>216535</wp:posOffset>
            </wp:positionV>
            <wp:extent cx="4724400" cy="1397000"/>
            <wp:effectExtent l="0" t="0" r="0" b="0"/>
            <wp:wrapTight wrapText="bothSides">
              <wp:wrapPolygon edited="0">
                <wp:start x="0" y="0"/>
                <wp:lineTo x="0" y="21404"/>
                <wp:lineTo x="21542" y="21404"/>
                <wp:lineTo x="2154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33831" w14:textId="5578356E" w:rsidR="000127F2" w:rsidRPr="00BA274B" w:rsidRDefault="00823E4D" w:rsidP="00823E4D">
      <w:pPr>
        <w:jc w:val="center"/>
        <w:rPr>
          <w:rFonts w:ascii="Calibri" w:eastAsia="Times New Roman" w:hAnsi="Calibri" w:cs="Calibri"/>
          <w:color w:val="000000"/>
          <w:lang w:val="da-DK" w:eastAsia="en-GB"/>
        </w:rPr>
      </w:pPr>
      <w:r w:rsidRPr="00BA274B">
        <w:rPr>
          <w:rFonts w:ascii="Calibri" w:eastAsia="Times New Roman" w:hAnsi="Calibri" w:cs="Calibri"/>
          <w:color w:val="000000"/>
          <w:bdr w:val="none" w:sz="0" w:space="0" w:color="auto" w:frame="1"/>
          <w:lang w:val="da-DK" w:eastAsia="en-GB"/>
        </w:rPr>
        <w:fldChar w:fldCharType="begin"/>
      </w:r>
      <w:r w:rsidRPr="00BA274B">
        <w:rPr>
          <w:rFonts w:ascii="Calibri" w:eastAsia="Times New Roman" w:hAnsi="Calibri" w:cs="Calibri"/>
          <w:color w:val="000000"/>
          <w:bdr w:val="none" w:sz="0" w:space="0" w:color="auto" w:frame="1"/>
          <w:lang w:val="da-DK" w:eastAsia="en-GB"/>
        </w:rPr>
        <w:instrText xml:space="preserve"> INCLUDEPICTURE "https://lh3.googleusercontent.com/RBhEnKHlgzzfxLSj6Ho2od5ic56EId70N4bizvPPNQX_H86dc0rpHW5y0usmuAyuW01vg7rVeDwfQuqZwN2hWzLiRQBFG2ktm_e77ZSmA6AlDZfrFaXG3i4HClFUt9_imEHHU0up" \* MERGEFORMATINET </w:instrText>
      </w:r>
      <w:r w:rsidRPr="00BA274B">
        <w:rPr>
          <w:rFonts w:ascii="Calibri" w:eastAsia="Times New Roman" w:hAnsi="Calibri" w:cs="Calibri"/>
          <w:color w:val="000000"/>
          <w:bdr w:val="none" w:sz="0" w:space="0" w:color="auto" w:frame="1"/>
          <w:lang w:val="da-DK" w:eastAsia="en-GB"/>
        </w:rPr>
        <w:fldChar w:fldCharType="separate"/>
      </w:r>
      <w:r w:rsidRPr="00BA274B">
        <w:rPr>
          <w:rFonts w:ascii="Calibri" w:eastAsia="Times New Roman" w:hAnsi="Calibri" w:cs="Calibri"/>
          <w:color w:val="000000"/>
          <w:bdr w:val="none" w:sz="0" w:space="0" w:color="auto" w:frame="1"/>
          <w:lang w:val="da-DK" w:eastAsia="en-GB"/>
        </w:rPr>
        <w:fldChar w:fldCharType="end"/>
      </w:r>
    </w:p>
    <w:p w14:paraId="019A00BD" w14:textId="77777777" w:rsidR="008740A3" w:rsidRPr="00BA274B" w:rsidRDefault="008740A3" w:rsidP="004D2C10">
      <w:pPr>
        <w:rPr>
          <w:rFonts w:ascii="Calibri" w:eastAsia="Times New Roman" w:hAnsi="Calibri" w:cs="Calibri"/>
          <w:color w:val="000000"/>
          <w:lang w:val="da-DK" w:eastAsia="en-GB"/>
        </w:rPr>
      </w:pPr>
    </w:p>
    <w:p w14:paraId="495A00BB" w14:textId="2D5332DF" w:rsidR="00823E4D" w:rsidRPr="00823E4D" w:rsidRDefault="00823E4D" w:rsidP="004D2C10">
      <w:pPr>
        <w:rPr>
          <w:rFonts w:ascii="Calibri" w:eastAsia="Times New Roman" w:hAnsi="Calibri" w:cs="Calibri"/>
          <w:color w:val="000000"/>
          <w:lang w:val="da-DK" w:eastAsia="en-GB"/>
        </w:rPr>
      </w:pPr>
    </w:p>
    <w:p w14:paraId="13FE2492" w14:textId="3902BBD5" w:rsidR="00B13A5A" w:rsidRDefault="00B13A5A" w:rsidP="00B0683F">
      <w:pPr>
        <w:rPr>
          <w:rFonts w:eastAsiaTheme="minorEastAsia"/>
          <w:lang w:val="da-DK"/>
        </w:rPr>
      </w:pPr>
    </w:p>
    <w:p w14:paraId="38EC999F" w14:textId="67CE27ED" w:rsidR="00823E4D" w:rsidRDefault="00823E4D" w:rsidP="00B0683F">
      <w:pPr>
        <w:rPr>
          <w:rFonts w:eastAsiaTheme="minorEastAsia"/>
          <w:lang w:val="da-DK"/>
        </w:rPr>
      </w:pPr>
    </w:p>
    <w:p w14:paraId="6ADE8DA8" w14:textId="76ED48B5" w:rsidR="00823E4D" w:rsidRDefault="00823E4D" w:rsidP="00B0683F">
      <w:pPr>
        <w:rPr>
          <w:rFonts w:eastAsiaTheme="minorEastAsia"/>
          <w:lang w:val="da-DK"/>
        </w:rPr>
      </w:pPr>
    </w:p>
    <w:p w14:paraId="080B5080" w14:textId="351C0502" w:rsidR="00823E4D" w:rsidRDefault="00823E4D" w:rsidP="00B0683F">
      <w:pPr>
        <w:rPr>
          <w:rFonts w:eastAsiaTheme="minorEastAsia"/>
          <w:lang w:val="da-DK"/>
        </w:rPr>
      </w:pPr>
    </w:p>
    <w:p w14:paraId="0EF8F4A6" w14:textId="7FCE2C63" w:rsidR="00823E4D" w:rsidRDefault="00823E4D" w:rsidP="00B0683F">
      <w:pPr>
        <w:rPr>
          <w:rFonts w:eastAsiaTheme="minorEastAsia"/>
          <w:lang w:val="da-DK"/>
        </w:rPr>
      </w:pPr>
    </w:p>
    <w:p w14:paraId="2389D8FD" w14:textId="7A5621AC" w:rsidR="00823E4D" w:rsidRDefault="00823E4D" w:rsidP="00B0683F">
      <w:pPr>
        <w:rPr>
          <w:rFonts w:eastAsiaTheme="minorEastAsia"/>
          <w:lang w:val="da-DK"/>
        </w:rPr>
      </w:pPr>
    </w:p>
    <w:p w14:paraId="7A2E44D2" w14:textId="77777777" w:rsidR="00823E4D" w:rsidRDefault="00823E4D" w:rsidP="00823E4D">
      <w:pPr>
        <w:rPr>
          <w:rFonts w:ascii="Calibri" w:eastAsia="Times New Roman" w:hAnsi="Calibri" w:cs="Calibri"/>
          <w:color w:val="000000"/>
          <w:lang w:val="da-DK" w:eastAsia="en-GB"/>
        </w:rPr>
      </w:pPr>
      <w:r>
        <w:rPr>
          <w:rFonts w:ascii="Calibri" w:eastAsia="Times New Roman" w:hAnsi="Calibri" w:cs="Calibri"/>
          <w:b/>
          <w:bCs/>
          <w:color w:val="000000"/>
          <w:lang w:val="da-DK" w:eastAsia="en-GB"/>
        </w:rPr>
        <w:t xml:space="preserve">2.8 </w:t>
      </w:r>
    </w:p>
    <w:p w14:paraId="38C6AD3F" w14:textId="52F06D4F" w:rsidR="00AC4CD0" w:rsidRDefault="00823E4D" w:rsidP="00B0683F">
      <w:pPr>
        <w:rPr>
          <w:rFonts w:eastAsiaTheme="minorEastAsia"/>
          <w:lang w:val="da-DK"/>
        </w:rPr>
      </w:pPr>
      <w:r>
        <w:rPr>
          <w:rFonts w:eastAsiaTheme="minorEastAsia"/>
          <w:lang w:val="da-DK"/>
        </w:rPr>
        <w:t xml:space="preserve">De beregnede værdier ud fra historiske data stemmer ikke overens med de udleverede værdier. De empiriske estimater er dårligere end de teoretiske, hvilket udtrykkes gennem lavere forventet afkast og højere risiko. </w:t>
      </w:r>
      <w:r w:rsidR="00AC4CD0">
        <w:rPr>
          <w:rFonts w:eastAsiaTheme="minorEastAsia"/>
          <w:lang w:val="da-DK"/>
        </w:rPr>
        <w:t xml:space="preserve">Ved den empiriske beregning af værdier bruger man historiske sandsynlighedsfordelinger, og man antager at disse fortsætter ud i fremtiden. Dette er dog ikke i overensstemmelse med virkeligheden, da nye oplysninger og teknologi hele tiden påvirker i gode eller dårlige retninger. Dette er en af manglerne ved brug af historiske empiri. </w:t>
      </w:r>
    </w:p>
    <w:p w14:paraId="6C9E5513" w14:textId="1132B0E4" w:rsidR="00AC4CD0" w:rsidRDefault="00AC4CD0" w:rsidP="00B0683F">
      <w:pPr>
        <w:rPr>
          <w:rFonts w:eastAsiaTheme="minorEastAsia"/>
          <w:lang w:val="da-DK"/>
        </w:rPr>
      </w:pPr>
    </w:p>
    <w:p w14:paraId="092507AF" w14:textId="3C277632" w:rsidR="00AC4CD0" w:rsidRDefault="00AC4CD0" w:rsidP="00B0683F">
      <w:pPr>
        <w:rPr>
          <w:rFonts w:eastAsiaTheme="minorEastAsia"/>
          <w:b/>
          <w:bCs/>
          <w:lang w:val="da-DK"/>
        </w:rPr>
      </w:pPr>
      <w:r>
        <w:rPr>
          <w:rFonts w:eastAsiaTheme="minorEastAsia"/>
          <w:b/>
          <w:bCs/>
          <w:lang w:val="da-DK"/>
        </w:rPr>
        <w:t xml:space="preserve">2.9 </w:t>
      </w:r>
    </w:p>
    <w:p w14:paraId="50EE20CC" w14:textId="17870A0C" w:rsidR="00AC4CD0" w:rsidRDefault="00AC4CD0" w:rsidP="00B0683F">
      <w:pPr>
        <w:rPr>
          <w:rFonts w:eastAsiaTheme="minorEastAsia"/>
          <w:lang w:val="da-DK"/>
        </w:rPr>
      </w:pPr>
      <w:r>
        <w:rPr>
          <w:rFonts w:eastAsiaTheme="minorEastAsia"/>
          <w:lang w:val="da-DK"/>
        </w:rPr>
        <w:t>Vi benytter de fundne vægte og korrelationskoeffic</w:t>
      </w:r>
      <w:r w:rsidR="006E13FD">
        <w:rPr>
          <w:rFonts w:eastAsiaTheme="minorEastAsia"/>
          <w:lang w:val="da-DK"/>
        </w:rPr>
        <w:t>i</w:t>
      </w:r>
      <w:r>
        <w:rPr>
          <w:rFonts w:eastAsiaTheme="minorEastAsia"/>
          <w:lang w:val="da-DK"/>
        </w:rPr>
        <w:t xml:space="preserve">enten fra 2.5 til at beregne estimater for fremtidigt afkast og standardafvigelse ud fra de historiske data. </w:t>
      </w:r>
    </w:p>
    <w:p w14:paraId="06A1C703" w14:textId="3B59E453" w:rsidR="00AC4CD0" w:rsidRPr="00EC28F6" w:rsidRDefault="00EC28F6" w:rsidP="00B0683F">
      <w:pPr>
        <w:rPr>
          <w:rFonts w:eastAsiaTheme="minorEastAsia"/>
          <w:color w:val="000000"/>
          <w:lang w:val="da-DK" w:eastAsia="en-GB"/>
        </w:rPr>
      </w:pPr>
      <m:oMathPara>
        <m:oMath>
          <m:r>
            <w:rPr>
              <w:rFonts w:ascii="Cambria Math" w:eastAsiaTheme="minorEastAsia" w:hAnsi="Cambria Math"/>
              <w:lang w:val="da-DK"/>
            </w:rPr>
            <m:t>Forventet afkast=0,35·0,047+0,65·0,05</m:t>
          </m:r>
          <m:r>
            <w:rPr>
              <w:rFonts w:ascii="Cambria Math" w:eastAsiaTheme="minorEastAsia" w:hAnsi="Cambria Math"/>
              <w:lang w:val="da-DK"/>
            </w:rPr>
            <m:t>=0,04895</m:t>
          </m:r>
          <m: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σ</m:t>
              </m:r>
            </m:e>
            <m:sup>
              <m:r>
                <w:rPr>
                  <w:rFonts w:ascii="Cambria Math" w:eastAsiaTheme="minorEastAsia" w:hAnsi="Cambria Math"/>
                  <w:lang w:val="da-DK"/>
                </w:rPr>
                <m:t>2</m:t>
              </m:r>
            </m:sup>
          </m:sSup>
          <m:r>
            <w:rPr>
              <w:rFonts w:ascii="Cambria Math" w:eastAsiaTheme="minorEastAsia" w:hAnsi="Cambria Math"/>
              <w:lang w:val="da-DK"/>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0,35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0,106</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0,65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0,095</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0,005189473</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w:br/>
          </m:r>
        </m:oMath>
        <m:oMath>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0,005189473</m:t>
                  </m:r>
                </m:e>
                <m:sup>
                  <m:r>
                    <w:rPr>
                      <w:rFonts w:ascii="Cambria Math" w:eastAsia="Times New Roman" w:hAnsi="Cambria Math" w:cs="Calibri"/>
                      <w:color w:val="000000"/>
                      <w:lang w:val="da-DK" w:eastAsia="en-GB"/>
                    </w:rPr>
                    <m:t>2</m:t>
                  </m:r>
                </m:sup>
              </m:sSup>
            </m:e>
          </m:rad>
          <m:r>
            <w:rPr>
              <w:rFonts w:ascii="Cambria Math" w:eastAsia="Times New Roman" w:hAnsi="Cambria Math" w:cs="Calibri"/>
              <w:color w:val="000000"/>
              <w:lang w:val="da-DK" w:eastAsia="en-GB"/>
            </w:rPr>
            <m:t>=0,005189473</m:t>
          </m:r>
        </m:oMath>
      </m:oMathPara>
    </w:p>
    <w:p w14:paraId="42582866" w14:textId="7B114F59" w:rsidR="00EC28F6" w:rsidRPr="00EC28F6" w:rsidRDefault="00EC28F6" w:rsidP="00B0683F">
      <w:pPr>
        <w:rPr>
          <w:rFonts w:eastAsiaTheme="minorEastAsia"/>
          <w:color w:val="000000"/>
          <w:lang w:val="da-DK" w:eastAsia="en-GB"/>
        </w:rPr>
      </w:pPr>
      <w:r>
        <w:rPr>
          <w:rFonts w:eastAsiaTheme="minorEastAsia"/>
          <w:color w:val="000000"/>
          <w:lang w:val="da-DK" w:eastAsia="en-GB"/>
        </w:rPr>
        <w:t xml:space="preserve">Investoren vil ud fra historisk empiri og de fundne vægte i 2.5 få et fremtidigt afkast på 4,9% og have en </w:t>
      </w:r>
      <w:r w:rsidR="00AA2278">
        <w:rPr>
          <w:rFonts w:eastAsiaTheme="minorEastAsia"/>
          <w:color w:val="000000"/>
          <w:lang w:val="da-DK" w:eastAsia="en-GB"/>
        </w:rPr>
        <w:t>portefølje</w:t>
      </w:r>
      <w:r>
        <w:rPr>
          <w:rFonts w:eastAsiaTheme="minorEastAsia"/>
          <w:color w:val="000000"/>
          <w:lang w:val="da-DK" w:eastAsia="en-GB"/>
        </w:rPr>
        <w:t xml:space="preserve">standardafvigelse på </w:t>
      </w:r>
      <w:r w:rsidR="00AA2278">
        <w:rPr>
          <w:rFonts w:eastAsiaTheme="minorEastAsia"/>
          <w:color w:val="000000"/>
          <w:lang w:val="da-DK" w:eastAsia="en-GB"/>
        </w:rPr>
        <w:t xml:space="preserve"> </w:t>
      </w:r>
      <m:oMath>
        <m:r>
          <w:rPr>
            <w:rFonts w:ascii="Cambria Math" w:eastAsia="Times New Roman" w:hAnsi="Cambria Math" w:cs="Calibri"/>
            <w:color w:val="000000"/>
            <w:lang w:val="da-DK" w:eastAsia="en-GB"/>
          </w:rPr>
          <m:t>0,52</m:t>
        </m:r>
      </m:oMath>
      <w:r w:rsidR="00AA2278">
        <w:rPr>
          <w:rFonts w:eastAsiaTheme="minorEastAsia"/>
          <w:color w:val="000000"/>
          <w:lang w:val="da-DK" w:eastAsia="en-GB"/>
        </w:rPr>
        <w:t>%</w:t>
      </w:r>
    </w:p>
    <w:p w14:paraId="21A19DB5" w14:textId="0A94C43E" w:rsidR="00EC28F6" w:rsidRDefault="00EC28F6" w:rsidP="00B0683F">
      <w:pPr>
        <w:rPr>
          <w:rFonts w:eastAsiaTheme="minorEastAsia"/>
          <w:lang w:val="da-DK"/>
        </w:rPr>
      </w:pPr>
    </w:p>
    <w:p w14:paraId="118A1DF4" w14:textId="77777777" w:rsidR="00D44E95" w:rsidRDefault="00AA2278" w:rsidP="00B0683F">
      <w:pPr>
        <w:rPr>
          <w:rFonts w:eastAsiaTheme="minorEastAsia"/>
          <w:lang w:val="da-DK"/>
        </w:rPr>
      </w:pPr>
      <w:r>
        <w:rPr>
          <w:rFonts w:eastAsiaTheme="minorEastAsia"/>
          <w:lang w:val="da-DK"/>
        </w:rPr>
        <w:t>Ved de historiske data vil porteføljens forventede afkast være lavere end de givne værdier</w:t>
      </w:r>
      <w:r w:rsidR="00222897">
        <w:rPr>
          <w:rFonts w:eastAsiaTheme="minorEastAsia"/>
          <w:lang w:val="da-DK"/>
        </w:rPr>
        <w:t xml:space="preserve">. </w:t>
      </w:r>
      <w:r w:rsidR="00D44E95">
        <w:rPr>
          <w:rFonts w:eastAsiaTheme="minorEastAsia"/>
          <w:lang w:val="da-DK"/>
        </w:rPr>
        <w:t xml:space="preserve">Dog er standardafvigelsen lavere end tidligere beregnet. Det empiriske forventede afkast er lavere, fordi de empiriske afkast for værdipapir A og B er lavere end de oplyste. </w:t>
      </w:r>
    </w:p>
    <w:p w14:paraId="2FC59D15" w14:textId="77777777" w:rsidR="00D44E95" w:rsidRDefault="00D44E95" w:rsidP="00B0683F">
      <w:pPr>
        <w:rPr>
          <w:rFonts w:eastAsiaTheme="minorEastAsia"/>
          <w:lang w:val="da-DK"/>
        </w:rPr>
      </w:pPr>
    </w:p>
    <w:p w14:paraId="5A1332AE" w14:textId="77777777" w:rsidR="00D44E95" w:rsidRDefault="00D44E95" w:rsidP="00B0683F">
      <w:pPr>
        <w:rPr>
          <w:rFonts w:eastAsiaTheme="minorEastAsia"/>
          <w:lang w:val="da-DK"/>
        </w:rPr>
      </w:pPr>
    </w:p>
    <w:p w14:paraId="08392830" w14:textId="42581749" w:rsidR="00AA2278" w:rsidRPr="00EC28F6" w:rsidRDefault="00D44E95" w:rsidP="00B0683F">
      <w:pPr>
        <w:rPr>
          <w:rFonts w:eastAsiaTheme="minorEastAsia"/>
          <w:lang w:val="da-DK"/>
        </w:rPr>
      </w:pPr>
      <w:r>
        <w:rPr>
          <w:rFonts w:eastAsiaTheme="minorEastAsia"/>
          <w:lang w:val="da-DK"/>
        </w:rPr>
        <w:t xml:space="preserve">Hej Morten </w:t>
      </w:r>
      <w:r w:rsidRPr="00D44E95">
        <w:rPr>
          <w:rFonts w:eastAsiaTheme="minorEastAsia"/>
          <w:lang w:val="da-DK"/>
        </w:rPr>
        <w:sym w:font="Wingdings" w:char="F04A"/>
      </w:r>
      <w:r>
        <w:rPr>
          <w:rFonts w:eastAsiaTheme="minorEastAsia"/>
          <w:lang w:val="da-DK"/>
        </w:rPr>
        <w:t xml:space="preserve"> </w:t>
      </w:r>
      <w:r w:rsidR="00222897">
        <w:rPr>
          <w:rFonts w:eastAsiaTheme="minorEastAsia"/>
          <w:lang w:val="da-DK"/>
        </w:rPr>
        <w:t xml:space="preserve"> </w:t>
      </w:r>
    </w:p>
    <w:sectPr w:rsidR="00AA2278" w:rsidRPr="00EC28F6">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32AC6" w14:textId="77777777" w:rsidR="00186033" w:rsidRDefault="00186033" w:rsidP="00B0683F">
      <w:r>
        <w:separator/>
      </w:r>
    </w:p>
  </w:endnote>
  <w:endnote w:type="continuationSeparator" w:id="0">
    <w:p w14:paraId="412192B8" w14:textId="77777777" w:rsidR="00186033" w:rsidRDefault="00186033" w:rsidP="00B0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5559782"/>
      <w:docPartObj>
        <w:docPartGallery w:val="Page Numbers (Bottom of Page)"/>
        <w:docPartUnique/>
      </w:docPartObj>
    </w:sdtPr>
    <w:sdtEndPr>
      <w:rPr>
        <w:rStyle w:val="PageNumber"/>
      </w:rPr>
    </w:sdtEndPr>
    <w:sdtContent>
      <w:p w14:paraId="235EB569" w14:textId="6D3D03E6" w:rsidR="00B0683F" w:rsidRDefault="00B0683F" w:rsidP="000009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EF5A0F" w14:textId="77777777" w:rsidR="00B0683F" w:rsidRDefault="00B0683F" w:rsidP="00B06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1856660"/>
      <w:docPartObj>
        <w:docPartGallery w:val="Page Numbers (Bottom of Page)"/>
        <w:docPartUnique/>
      </w:docPartObj>
    </w:sdtPr>
    <w:sdtEndPr>
      <w:rPr>
        <w:rStyle w:val="PageNumber"/>
      </w:rPr>
    </w:sdtEndPr>
    <w:sdtContent>
      <w:p w14:paraId="629172EE" w14:textId="74C1FCC6" w:rsidR="00B0683F" w:rsidRDefault="00B0683F" w:rsidP="000009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07D55F" w14:textId="77777777" w:rsidR="00B0683F" w:rsidRDefault="00B0683F" w:rsidP="00B06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D9C80" w14:textId="77777777" w:rsidR="00186033" w:rsidRDefault="00186033" w:rsidP="00B0683F">
      <w:r>
        <w:separator/>
      </w:r>
    </w:p>
  </w:footnote>
  <w:footnote w:type="continuationSeparator" w:id="0">
    <w:p w14:paraId="24D59FB9" w14:textId="77777777" w:rsidR="00186033" w:rsidRDefault="00186033" w:rsidP="00B06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72919" w14:textId="08B1B975" w:rsidR="00B0683F" w:rsidRDefault="00B0683F">
    <w:pPr>
      <w:pStyle w:val="Header"/>
      <w:rPr>
        <w:lang w:val="da-DK"/>
      </w:rPr>
    </w:pPr>
    <w:r>
      <w:rPr>
        <w:lang w:val="da-DK"/>
      </w:rPr>
      <w:t xml:space="preserve">Emil Erbas, Emil Rasmussen og </w:t>
    </w:r>
    <w:r>
      <w:rPr>
        <w:lang w:val="da-DK"/>
      </w:rPr>
      <w:tab/>
      <w:t>Københavns Universitet</w:t>
    </w:r>
    <w:r>
      <w:rPr>
        <w:lang w:val="da-DK"/>
      </w:rPr>
      <w:tab/>
      <w:t>Dato:</w:t>
    </w:r>
  </w:p>
  <w:p w14:paraId="38AF6F5A" w14:textId="250A38D6" w:rsidR="00B0683F" w:rsidRPr="00B0683F" w:rsidRDefault="00B0683F">
    <w:pPr>
      <w:pStyle w:val="Header"/>
      <w:rPr>
        <w:lang w:val="da-DK"/>
      </w:rPr>
    </w:pPr>
    <w:r>
      <w:rPr>
        <w:lang w:val="da-DK"/>
      </w:rPr>
      <w:t xml:space="preserve">Jeppe </w:t>
    </w:r>
    <w:proofErr w:type="spellStart"/>
    <w:r>
      <w:rPr>
        <w:lang w:val="da-DK"/>
      </w:rPr>
      <w:t>Vanderhaegen</w:t>
    </w:r>
    <w:proofErr w:type="spellEnd"/>
    <w:r>
      <w:rPr>
        <w:lang w:val="da-DK"/>
      </w:rPr>
      <w:tab/>
      <w:t>Erhvervsøkonomi</w:t>
    </w:r>
    <w:r>
      <w:rPr>
        <w:lang w:val="da-DK"/>
      </w:rPr>
      <w:tab/>
      <w:t>30-04-2021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3F"/>
    <w:rsid w:val="00002CD3"/>
    <w:rsid w:val="000127F2"/>
    <w:rsid w:val="00034231"/>
    <w:rsid w:val="0006576A"/>
    <w:rsid w:val="00135E03"/>
    <w:rsid w:val="001844EE"/>
    <w:rsid w:val="0018510D"/>
    <w:rsid w:val="00186033"/>
    <w:rsid w:val="00222897"/>
    <w:rsid w:val="002C014C"/>
    <w:rsid w:val="002E3031"/>
    <w:rsid w:val="003C6B09"/>
    <w:rsid w:val="004C79F5"/>
    <w:rsid w:val="004D2C10"/>
    <w:rsid w:val="00532E29"/>
    <w:rsid w:val="00557CD7"/>
    <w:rsid w:val="00580E78"/>
    <w:rsid w:val="006D608A"/>
    <w:rsid w:val="006E13FD"/>
    <w:rsid w:val="007B3B83"/>
    <w:rsid w:val="00801273"/>
    <w:rsid w:val="00802161"/>
    <w:rsid w:val="00823E4D"/>
    <w:rsid w:val="008740A3"/>
    <w:rsid w:val="008954EE"/>
    <w:rsid w:val="008C55AD"/>
    <w:rsid w:val="00992DCA"/>
    <w:rsid w:val="00A2179A"/>
    <w:rsid w:val="00A570FA"/>
    <w:rsid w:val="00A84E84"/>
    <w:rsid w:val="00AA2278"/>
    <w:rsid w:val="00AC4CD0"/>
    <w:rsid w:val="00B0683F"/>
    <w:rsid w:val="00B13A5A"/>
    <w:rsid w:val="00BA274B"/>
    <w:rsid w:val="00BD7833"/>
    <w:rsid w:val="00C30097"/>
    <w:rsid w:val="00C8558F"/>
    <w:rsid w:val="00CA7613"/>
    <w:rsid w:val="00CD630F"/>
    <w:rsid w:val="00D44E95"/>
    <w:rsid w:val="00D8197D"/>
    <w:rsid w:val="00E017B9"/>
    <w:rsid w:val="00EB03BD"/>
    <w:rsid w:val="00EC28F6"/>
    <w:rsid w:val="00F77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A53C"/>
  <w15:chartTrackingRefBased/>
  <w15:docId w15:val="{20D215EC-DC7F-7F46-853F-35C536FE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83F"/>
    <w:rPr>
      <w:color w:val="808080"/>
    </w:rPr>
  </w:style>
  <w:style w:type="paragraph" w:styleId="Header">
    <w:name w:val="header"/>
    <w:basedOn w:val="Normal"/>
    <w:link w:val="HeaderChar"/>
    <w:uiPriority w:val="99"/>
    <w:unhideWhenUsed/>
    <w:rsid w:val="00B0683F"/>
    <w:pPr>
      <w:tabs>
        <w:tab w:val="center" w:pos="4513"/>
        <w:tab w:val="right" w:pos="9026"/>
      </w:tabs>
    </w:pPr>
  </w:style>
  <w:style w:type="character" w:customStyle="1" w:styleId="HeaderChar">
    <w:name w:val="Header Char"/>
    <w:basedOn w:val="DefaultParagraphFont"/>
    <w:link w:val="Header"/>
    <w:uiPriority w:val="99"/>
    <w:rsid w:val="00B0683F"/>
  </w:style>
  <w:style w:type="paragraph" w:styleId="Footer">
    <w:name w:val="footer"/>
    <w:basedOn w:val="Normal"/>
    <w:link w:val="FooterChar"/>
    <w:uiPriority w:val="99"/>
    <w:unhideWhenUsed/>
    <w:rsid w:val="00B0683F"/>
    <w:pPr>
      <w:tabs>
        <w:tab w:val="center" w:pos="4513"/>
        <w:tab w:val="right" w:pos="9026"/>
      </w:tabs>
    </w:pPr>
  </w:style>
  <w:style w:type="character" w:customStyle="1" w:styleId="FooterChar">
    <w:name w:val="Footer Char"/>
    <w:basedOn w:val="DefaultParagraphFont"/>
    <w:link w:val="Footer"/>
    <w:uiPriority w:val="99"/>
    <w:rsid w:val="00B0683F"/>
  </w:style>
  <w:style w:type="character" w:styleId="PageNumber">
    <w:name w:val="page number"/>
    <w:basedOn w:val="DefaultParagraphFont"/>
    <w:uiPriority w:val="99"/>
    <w:semiHidden/>
    <w:unhideWhenUsed/>
    <w:rsid w:val="00B0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17993">
      <w:bodyDiv w:val="1"/>
      <w:marLeft w:val="0"/>
      <w:marRight w:val="0"/>
      <w:marTop w:val="0"/>
      <w:marBottom w:val="0"/>
      <w:divBdr>
        <w:top w:val="none" w:sz="0" w:space="0" w:color="auto"/>
        <w:left w:val="none" w:sz="0" w:space="0" w:color="auto"/>
        <w:bottom w:val="none" w:sz="0" w:space="0" w:color="auto"/>
        <w:right w:val="none" w:sz="0" w:space="0" w:color="auto"/>
      </w:divBdr>
    </w:div>
    <w:div w:id="963194162">
      <w:bodyDiv w:val="1"/>
      <w:marLeft w:val="0"/>
      <w:marRight w:val="0"/>
      <w:marTop w:val="0"/>
      <w:marBottom w:val="0"/>
      <w:divBdr>
        <w:top w:val="none" w:sz="0" w:space="0" w:color="auto"/>
        <w:left w:val="none" w:sz="0" w:space="0" w:color="auto"/>
        <w:bottom w:val="none" w:sz="0" w:space="0" w:color="auto"/>
        <w:right w:val="none" w:sz="0" w:space="0" w:color="auto"/>
      </w:divBdr>
    </w:div>
    <w:div w:id="18155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31</cp:revision>
  <dcterms:created xsi:type="dcterms:W3CDTF">2021-04-19T15:00:00Z</dcterms:created>
  <dcterms:modified xsi:type="dcterms:W3CDTF">2021-04-29T06:19:00Z</dcterms:modified>
</cp:coreProperties>
</file>