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20D6F" w14:textId="097EB797" w:rsidR="00970CB2" w:rsidRPr="008455BC" w:rsidRDefault="00970CB2" w:rsidP="00970CB2">
      <w:pPr>
        <w:rPr>
          <w:rFonts w:ascii="Calibri" w:eastAsia="Times New Roman" w:hAnsi="Calibri" w:cs="Calibri"/>
          <w:b/>
          <w:bCs/>
          <w:color w:val="000000"/>
          <w:lang w:val="da-DK" w:eastAsia="en-GB"/>
        </w:rPr>
      </w:pPr>
      <w:bookmarkStart w:id="0" w:name="OLE_LINK2"/>
      <w:bookmarkStart w:id="1" w:name="OLE_LINK3"/>
      <w:r w:rsidRPr="008455BC">
        <w:rPr>
          <w:rFonts w:ascii="Calibri" w:eastAsia="Times New Roman" w:hAnsi="Calibri" w:cs="Calibri"/>
          <w:b/>
          <w:bCs/>
          <w:color w:val="000000"/>
          <w:lang w:val="da-DK" w:eastAsia="en-GB"/>
        </w:rPr>
        <w:t>1.1</w:t>
      </w:r>
    </w:p>
    <w:p w14:paraId="5D55D027" w14:textId="77777777" w:rsidR="00970CB2" w:rsidRPr="008455BC" w:rsidRDefault="00970CB2" w:rsidP="00970CB2">
      <w:pPr>
        <w:rPr>
          <w:rFonts w:ascii="Calibri" w:eastAsia="Times New Roman" w:hAnsi="Calibri" w:cs="Calibri"/>
          <w:b/>
          <w:bCs/>
          <w:color w:val="000000"/>
          <w:lang w:val="da-DK" w:eastAsia="en-GB"/>
        </w:rPr>
      </w:pPr>
    </w:p>
    <w:p w14:paraId="395922CF" w14:textId="0B0D5066" w:rsidR="00970CB2" w:rsidRPr="008455BC" w:rsidRDefault="00970CB2" w:rsidP="00970CB2">
      <w:pPr>
        <w:rPr>
          <w:rFonts w:ascii="Calibri" w:eastAsia="Times New Roman" w:hAnsi="Calibri" w:cs="Calibri"/>
          <w:color w:val="000000"/>
          <w:lang w:val="da-DK" w:eastAsia="en-GB"/>
        </w:rPr>
      </w:pPr>
      <w:r w:rsidRPr="008455BC">
        <w:rPr>
          <w:rFonts w:ascii="Calibri" w:eastAsia="Times New Roman" w:hAnsi="Calibri" w:cs="Calibri"/>
          <w:color w:val="000000"/>
          <w:lang w:val="da-DK" w:eastAsia="en-GB"/>
        </w:rPr>
        <w:t xml:space="preserve">Variansen udtryk ved hjælp af </w:t>
      </w:r>
      <m:oMath>
        <m:r>
          <w:rPr>
            <w:rFonts w:ascii="Cambria Math" w:eastAsia="Times New Roman" w:hAnsi="Cambria Math" w:cs="Calibri"/>
            <w:color w:val="000000"/>
            <w:lang w:val="da-DK" w:eastAsia="en-GB"/>
          </w:rPr>
          <m:t>ρ</m:t>
        </m:r>
      </m:oMath>
      <w:r w:rsidRPr="008455BC">
        <w:rPr>
          <w:rFonts w:ascii="Calibri" w:eastAsia="Times New Roman" w:hAnsi="Calibri" w:cs="Calibri"/>
          <w:color w:val="000000"/>
          <w:lang w:val="da-DK" w:eastAsia="en-GB"/>
        </w:rPr>
        <w:t xml:space="preserve"> er følgende:  </w:t>
      </w:r>
    </w:p>
    <w:p w14:paraId="2B992350" w14:textId="77777777" w:rsidR="00970CB2" w:rsidRPr="008455BC" w:rsidRDefault="00970CB2" w:rsidP="00970CB2">
      <w:pPr>
        <w:rPr>
          <w:rFonts w:ascii="Calibri" w:eastAsia="Times New Roman" w:hAnsi="Calibri" w:cs="Calibri"/>
          <w:color w:val="000000"/>
          <w:lang w:val="da-DK" w:eastAsia="en-GB"/>
        </w:rPr>
      </w:pPr>
      <m:oMathPara>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B</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+2</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B</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AB</m:t>
              </m:r>
            </m:sub>
          </m:sSub>
          <m:r>
            <m:rPr>
              <m:sty m:val="p"/>
            </m:rPr>
            <w:rPr>
              <w:rFonts w:ascii="Cambria Math" w:eastAsia="Times New Roman" w:hAnsi="Cambria Math" w:cs="Calibri"/>
              <w:color w:val="000000"/>
              <w:lang w:val="da-DK" w:eastAsia="en-GB"/>
            </w:rPr>
            <w:br/>
          </m:r>
        </m:oMath>
        <m:oMath>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r>
            <w:rPr>
              <w:rFonts w:ascii="Cambria Math" w:eastAsia="Times New Roman" w:hAnsi="Cambria Math" w:cs="Calibri"/>
              <w:color w:val="000000"/>
              <w:lang w:val="da-DK" w:eastAsia="en-GB"/>
            </w:rPr>
            <m:t>=</m:t>
          </m:r>
          <m:f>
            <m:fPr>
              <m:ctrlPr>
                <w:rPr>
                  <w:rFonts w:ascii="Cambria Math" w:eastAsia="Times New Roman" w:hAnsi="Cambria Math" w:cs="Calibri"/>
                  <w:i/>
                  <w:color w:val="000000"/>
                  <w:lang w:val="da-DK" w:eastAsia="en-GB"/>
                </w:rPr>
              </m:ctrlPr>
            </m:fPr>
            <m:num>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AB</m:t>
                  </m:r>
                </m:sub>
              </m:sSub>
            </m:num>
            <m:den>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Sub>
            </m:den>
          </m:f>
          <m:r>
            <m:rPr>
              <m:sty m:val="p"/>
            </m:rPr>
            <w:rPr>
              <w:rFonts w:ascii="Cambria Math" w:eastAsia="Times New Roman" w:hAnsi="Cambria Math" w:cs="Calibri"/>
              <w:color w:val="000000"/>
              <w:lang w:val="da-DK" w:eastAsia="en-GB"/>
            </w:rPr>
            <w:br/>
          </m:r>
        </m:oMath>
        <m:oMath>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AB</m:t>
              </m:r>
            </m:sub>
          </m:sSub>
        </m:oMath>
      </m:oMathPara>
    </w:p>
    <w:p w14:paraId="2CEC6BD0" w14:textId="77777777" w:rsidR="00970CB2" w:rsidRPr="008455BC" w:rsidRDefault="00970CB2" w:rsidP="00970CB2">
      <w:pPr>
        <w:rPr>
          <w:rFonts w:ascii="Calibri" w:eastAsia="Times New Roman" w:hAnsi="Calibri" w:cs="Calibri"/>
          <w:color w:val="000000"/>
          <w:lang w:val="da-DK" w:eastAsia="en-GB"/>
        </w:rPr>
      </w:pPr>
      <w:r w:rsidRPr="008455BC">
        <w:rPr>
          <w:rFonts w:ascii="Calibri" w:eastAsia="Times New Roman" w:hAnsi="Calibri" w:cs="Calibri"/>
          <w:color w:val="000000"/>
          <w:lang w:val="da-DK" w:eastAsia="en-GB"/>
        </w:rPr>
        <w:t xml:space="preserve">Herved kan udtrykket opstilles: </w:t>
      </w:r>
    </w:p>
    <w:p w14:paraId="04F0C370" w14:textId="77777777" w:rsidR="00970CB2" w:rsidRPr="008455BC" w:rsidRDefault="00970CB2" w:rsidP="00970CB2">
      <w:pPr>
        <w:rPr>
          <w:rFonts w:ascii="Calibri" w:eastAsia="Times New Roman" w:hAnsi="Calibri" w:cs="Calibri"/>
          <w:color w:val="000000"/>
          <w:lang w:val="da-DK" w:eastAsia="en-GB"/>
        </w:rPr>
      </w:pPr>
      <m:oMathPara>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B</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+2</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B</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Sub>
        </m:oMath>
      </m:oMathPara>
    </w:p>
    <w:p w14:paraId="23864DFF" w14:textId="77777777" w:rsidR="00970CB2" w:rsidRPr="008455BC" w:rsidRDefault="00970CB2" w:rsidP="00970CB2">
      <w:pPr>
        <w:rPr>
          <w:rFonts w:ascii="Calibri" w:eastAsia="Times New Roman" w:hAnsi="Calibri" w:cs="Calibri"/>
          <w:color w:val="000000"/>
          <w:lang w:val="da-DK" w:eastAsia="en-GB"/>
        </w:rPr>
      </w:pPr>
      <w:r w:rsidRPr="008455BC">
        <w:rPr>
          <w:rFonts w:ascii="Calibri" w:eastAsia="Times New Roman" w:hAnsi="Calibri" w:cs="Calibri"/>
          <w:color w:val="000000"/>
          <w:lang w:val="da-DK" w:eastAsia="en-GB"/>
        </w:rPr>
        <w:t xml:space="preserve">Efterfølgende kan antallet af variabler forkortes ved at indsætte udtrykket. </w:t>
      </w:r>
      <m:oMath>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B</m:t>
            </m:r>
          </m:sub>
        </m:sSub>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oMath>
    </w:p>
    <w:bookmarkStart w:id="2" w:name="OLE_LINK1"/>
    <w:p w14:paraId="0EB7A46A" w14:textId="6A170172" w:rsidR="00970CB2" w:rsidRPr="008455BC" w:rsidRDefault="00970CB2" w:rsidP="00970CB2">
      <w:pPr>
        <w:rPr>
          <w:rFonts w:ascii="Calibri" w:eastAsia="Times New Roman" w:hAnsi="Calibri" w:cs="Calibri"/>
          <w:color w:val="000000"/>
          <w:lang w:val="da-DK" w:eastAsia="en-GB"/>
        </w:rPr>
      </w:pPr>
      <m:oMathPara>
        <m:oMath>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e>
              </m:d>
            </m:e>
            <m:sup>
              <m:r>
                <w:rPr>
                  <w:rFonts w:ascii="Cambria Math" w:eastAsia="Times New Roman" w:hAnsi="Cambria Math" w:cs="Calibri"/>
                  <w:color w:val="000000"/>
                  <w:lang w:val="da-DK" w:eastAsia="en-GB"/>
                </w:rPr>
                <m:t>2</m:t>
              </m:r>
            </m:sup>
          </m:s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+2</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Sub>
        </m:oMath>
      </m:oMathPara>
    </w:p>
    <w:bookmarkEnd w:id="2"/>
    <w:p w14:paraId="74D90199" w14:textId="77777777" w:rsidR="0016518A" w:rsidRPr="008455BC" w:rsidRDefault="0016518A" w:rsidP="00970CB2">
      <w:pPr>
        <w:rPr>
          <w:rFonts w:ascii="Calibri" w:eastAsia="Times New Roman" w:hAnsi="Calibri" w:cs="Calibri"/>
          <w:color w:val="000000"/>
          <w:lang w:val="da-DK" w:eastAsia="en-GB"/>
        </w:rPr>
      </w:pPr>
      <w:r w:rsidRPr="008455BC">
        <w:rPr>
          <w:rFonts w:ascii="Calibri" w:eastAsia="Times New Roman" w:hAnsi="Calibri" w:cs="Calibri"/>
          <w:color w:val="000000"/>
          <w:lang w:val="da-DK" w:eastAsia="en-GB"/>
        </w:rPr>
        <w:t xml:space="preserve">Herefter findes standardafvigelsen ved at tage kvadratrode: </w:t>
      </w:r>
    </w:p>
    <w:p w14:paraId="41A1B10F" w14:textId="6C490031" w:rsidR="000E1118" w:rsidRPr="008455BC" w:rsidRDefault="0016518A" w:rsidP="000E1118">
      <w:pPr>
        <w:rPr>
          <w:rFonts w:ascii="Calibri" w:eastAsia="Times New Roman" w:hAnsi="Calibri" w:cs="Calibri"/>
          <w:color w:val="000000"/>
          <w:lang w:val="da-DK" w:eastAsia="en-GB"/>
        </w:rPr>
      </w:pPr>
      <m:oMathPara>
        <m:oMath>
          <m:rad>
            <m:radPr>
              <m:degHide m:val="1"/>
              <m:ctrlPr>
                <w:rPr>
                  <w:rFonts w:ascii="Cambria Math" w:eastAsia="Times New Roman" w:hAnsi="Cambria Math" w:cs="Calibri"/>
                  <w:i/>
                  <w:color w:val="000000"/>
                  <w:lang w:val="da-DK" w:eastAsia="en-GB"/>
                </w:rPr>
              </m:ctrlPr>
            </m:radPr>
            <m:deg/>
            <m:e>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 xml:space="preserve"> </m:t>
              </m:r>
            </m:e>
          </m:rad>
          <m:r>
            <w:rPr>
              <w:rFonts w:ascii="Cambria Math" w:eastAsia="Times New Roman" w:hAnsi="Cambria Math" w:cs="Calibri"/>
              <w:color w:val="000000"/>
              <w:lang w:val="da-DK" w:eastAsia="en-GB"/>
            </w:rPr>
            <m:t>=</m:t>
          </m:r>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e>
              </m:d>
            </m:e>
            <m:sup>
              <m:r>
                <w:rPr>
                  <w:rFonts w:ascii="Cambria Math" w:eastAsia="Times New Roman" w:hAnsi="Cambria Math" w:cs="Calibri"/>
                  <w:color w:val="000000"/>
                  <w:lang w:val="da-DK" w:eastAsia="en-GB"/>
                </w:rPr>
                <m:t>2</m:t>
              </m:r>
            </m:sup>
          </m:s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+2</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AB</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A</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B</m:t>
              </m:r>
            </m:sub>
          </m:sSub>
        </m:oMath>
      </m:oMathPara>
    </w:p>
    <w:p w14:paraId="497E479F" w14:textId="73126C5B" w:rsidR="0016518A" w:rsidRPr="008455BC" w:rsidRDefault="0016518A" w:rsidP="00970CB2">
      <w:pPr>
        <w:rPr>
          <w:rFonts w:ascii="Calibri" w:eastAsia="Times New Roman" w:hAnsi="Calibri" w:cs="Calibri"/>
          <w:color w:val="000000"/>
          <w:lang w:val="da-DK" w:eastAsia="en-GB"/>
        </w:rPr>
      </w:pPr>
    </w:p>
    <w:p w14:paraId="142A9798" w14:textId="157520F6" w:rsidR="00970CB2" w:rsidRPr="008455BC" w:rsidRDefault="00970CB2" w:rsidP="00970CB2">
      <w:pPr>
        <w:rPr>
          <w:rFonts w:ascii="Calibri" w:eastAsia="Times New Roman" w:hAnsi="Calibri" w:cs="Calibri"/>
          <w:color w:val="000000"/>
          <w:lang w:val="da-DK" w:eastAsia="en-GB"/>
        </w:rPr>
      </w:pPr>
      <w:r w:rsidRPr="008455BC">
        <w:rPr>
          <w:rFonts w:ascii="Calibri" w:eastAsia="Times New Roman" w:hAnsi="Calibri" w:cs="Calibri"/>
          <w:color w:val="000000"/>
          <w:lang w:val="da-DK" w:eastAsia="en-GB"/>
        </w:rPr>
        <w:t xml:space="preserve">Forventet afkast kan opskrives som følgende: </w:t>
      </w:r>
    </w:p>
    <w:p w14:paraId="001A0551" w14:textId="16F20AE3" w:rsidR="00970CB2" w:rsidRPr="008455BC" w:rsidRDefault="00970CB2" w:rsidP="00970CB2">
      <w:pPr>
        <w:rPr>
          <w:rFonts w:ascii="Calibri" w:eastAsia="Times New Roman" w:hAnsi="Calibri" w:cs="Calibri"/>
          <w:color w:val="000000"/>
          <w:lang w:val="da-DK" w:eastAsia="en-GB"/>
        </w:rPr>
      </w:pPr>
      <m:oMathPara>
        <m:oMath>
          <m:r>
            <w:rPr>
              <w:rFonts w:ascii="Cambria Math" w:eastAsia="Times New Roman" w:hAnsi="Cambria Math" w:cs="Calibri"/>
              <w:color w:val="000000"/>
              <w:lang w:val="da-DK" w:eastAsia="en-GB"/>
            </w:rPr>
            <m:t>E</m:t>
          </m:r>
          <m:d>
            <m:dPr>
              <m:ctrlPr>
                <w:rPr>
                  <w:rFonts w:ascii="Cambria Math" w:eastAsia="Times New Roman" w:hAnsi="Cambria Math" w:cs="Calibri"/>
                  <w:i/>
                  <w:color w:val="000000"/>
                  <w:lang w:val="da-DK" w:eastAsia="en-GB"/>
                </w:rPr>
              </m:ctrlPr>
            </m:dPr>
            <m:e>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e>
          </m:d>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r>
            <w:rPr>
              <w:rFonts w:ascii="Cambria Math" w:eastAsia="Times New Roman" w:hAnsi="Cambria Math" w:cs="Calibri"/>
              <w:color w:val="000000"/>
              <w:lang w:val="da-DK" w:eastAsia="en-GB"/>
            </w:rPr>
            <m:t>·E</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A</m:t>
              </m:r>
            </m:e>
          </m:d>
          <m:r>
            <w:rPr>
              <w:rFonts w:ascii="Cambria Math" w:eastAsia="Times New Roman" w:hAnsi="Cambria Math" w:cs="Calibri"/>
              <w:color w:val="000000"/>
              <w:lang w:val="da-DK" w:eastAsia="en-GB"/>
            </w:rPr>
            <m:t>+</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A</m:t>
                  </m:r>
                </m:sub>
              </m:sSub>
            </m:e>
          </m:d>
          <m:r>
            <w:rPr>
              <w:rFonts w:ascii="Cambria Math" w:eastAsia="Times New Roman" w:hAnsi="Cambria Math" w:cs="Calibri"/>
              <w:color w:val="000000"/>
              <w:lang w:val="da-DK" w:eastAsia="en-GB"/>
            </w:rPr>
            <m:t>·E</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B</m:t>
              </m:r>
            </m:e>
          </m:d>
        </m:oMath>
      </m:oMathPara>
    </w:p>
    <w:p w14:paraId="62ED6274" w14:textId="5A923D3A" w:rsidR="00F71660" w:rsidRPr="008455BC" w:rsidRDefault="00970CB2">
      <w:pPr>
        <w:rPr>
          <w:rFonts w:ascii="Calibri" w:eastAsia="Times New Roman" w:hAnsi="Calibri" w:cs="Calibri"/>
          <w:b/>
          <w:bCs/>
          <w:color w:val="000000"/>
          <w:lang w:val="da-DK" w:eastAsia="en-GB"/>
        </w:rPr>
      </w:pPr>
      <m:oMathPara>
        <m:oMathParaPr>
          <m:jc m:val="left"/>
        </m:oMathParaPr>
        <m:oMath>
          <m:r>
            <w:rPr>
              <w:rFonts w:ascii="Cambria Math" w:eastAsia="Times New Roman" w:hAnsi="Cambria Math" w:cs="Calibri"/>
              <w:color w:val="000000"/>
              <w:lang w:val="da-DK" w:eastAsia="en-GB"/>
            </w:rPr>
            <w:br/>
          </m:r>
        </m:oMath>
      </m:oMathPara>
      <w:r w:rsidR="00F71660" w:rsidRPr="008455BC">
        <w:rPr>
          <w:rFonts w:ascii="Calibri" w:eastAsia="Times New Roman" w:hAnsi="Calibri" w:cs="Calibri"/>
          <w:b/>
          <w:bCs/>
          <w:color w:val="000000"/>
          <w:lang w:val="da-DK" w:eastAsia="en-GB"/>
        </w:rPr>
        <w:t xml:space="preserve">1.2 </w:t>
      </w:r>
    </w:p>
    <w:p w14:paraId="3743D135" w14:textId="4F1EF15D" w:rsidR="00B21262" w:rsidRPr="008455BC" w:rsidRDefault="00B21262">
      <w:pPr>
        <w:rPr>
          <w:rFonts w:ascii="Calibri" w:eastAsia="Times New Roman" w:hAnsi="Calibri" w:cs="Calibri"/>
          <w:b/>
          <w:bCs/>
          <w:color w:val="000000"/>
          <w:lang w:val="da-DK" w:eastAsia="en-GB"/>
        </w:rPr>
      </w:pPr>
    </w:p>
    <w:p w14:paraId="711E684E" w14:textId="2FB19C52" w:rsidR="00B21262" w:rsidRPr="008455BC" w:rsidRDefault="00B21262">
      <w:pPr>
        <w:rPr>
          <w:rFonts w:ascii="Calibri" w:eastAsia="Times New Roman" w:hAnsi="Calibri" w:cs="Calibri"/>
          <w:b/>
          <w:bCs/>
          <w:color w:val="000000"/>
          <w:lang w:val="da-DK" w:eastAsia="en-GB"/>
        </w:rPr>
      </w:pPr>
    </w:p>
    <w:p w14:paraId="4BC6C656" w14:textId="5847F14D" w:rsidR="00B21262" w:rsidRPr="008455BC" w:rsidRDefault="00B21262" w:rsidP="009C7660">
      <w:pPr>
        <w:ind w:left="720" w:hanging="720"/>
        <w:rPr>
          <w:rFonts w:ascii="Calibri" w:eastAsia="Times New Roman" w:hAnsi="Calibri" w:cs="Calibri"/>
          <w:b/>
          <w:bCs/>
          <w:color w:val="000000"/>
          <w:lang w:val="da-DK" w:eastAsia="en-GB"/>
        </w:rPr>
      </w:pPr>
      <w:r w:rsidRPr="008455BC">
        <w:rPr>
          <w:noProof/>
          <w:lang w:val="da-DK"/>
        </w:rPr>
        <w:drawing>
          <wp:inline distT="0" distB="0" distL="0" distR="0" wp14:anchorId="0DD6E3C8" wp14:editId="72061CFD">
            <wp:extent cx="5302250" cy="3663950"/>
            <wp:effectExtent l="0" t="0" r="6350" b="6350"/>
            <wp:docPr id="1" name="Chart 1">
              <a:extLst xmlns:a="http://schemas.openxmlformats.org/drawingml/2006/main">
                <a:ext uri="{FF2B5EF4-FFF2-40B4-BE49-F238E27FC236}">
                  <a16:creationId xmlns:a16="http://schemas.microsoft.com/office/drawing/2014/main" id="{CCF1C9F3-DB29-F04B-8867-99C0EA53F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010604" w14:textId="22CAADF0" w:rsidR="008455BC" w:rsidRPr="008455BC" w:rsidRDefault="008455BC" w:rsidP="009C7660">
      <w:pPr>
        <w:ind w:left="720" w:hanging="720"/>
        <w:rPr>
          <w:rFonts w:ascii="Calibri" w:eastAsia="Times New Roman" w:hAnsi="Calibri" w:cs="Calibri"/>
          <w:b/>
          <w:bCs/>
          <w:color w:val="000000"/>
          <w:lang w:val="da-DK" w:eastAsia="en-GB"/>
        </w:rPr>
      </w:pPr>
    </w:p>
    <w:p w14:paraId="6C16B828" w14:textId="77777777" w:rsidR="008455BC" w:rsidRPr="008455BC" w:rsidRDefault="008455BC" w:rsidP="008455BC">
      <w:pPr>
        <w:rPr>
          <w:rFonts w:ascii="Times New Roman" w:eastAsia="Times New Roman" w:hAnsi="Times New Roman" w:cs="Times New Roman"/>
          <w:color w:val="000000"/>
          <w:lang w:val="da-DK" w:eastAsia="en-GB"/>
        </w:rPr>
      </w:pPr>
      <w:r w:rsidRPr="008455BC">
        <w:rPr>
          <w:rFonts w:ascii="Calibri" w:eastAsia="Times New Roman" w:hAnsi="Calibri" w:cs="Calibri"/>
          <w:color w:val="000000"/>
          <w:sz w:val="22"/>
          <w:szCs w:val="22"/>
          <w:lang w:val="da-DK" w:eastAsia="en-GB"/>
        </w:rPr>
        <w:t>Illustrationen viser at nogle porteføljesammensætninger vil investoren aldrig foretage sig, da der findes sammensætninger, der dominerende over for den. Dem kigger man dog aldrig på, da de er irrelevante, fordi man ville kunne få en bedre portefølje med større afkast eller mindre risiko. </w:t>
      </w:r>
    </w:p>
    <w:p w14:paraId="3EA3D77C" w14:textId="77777777" w:rsidR="008455BC" w:rsidRPr="008455BC" w:rsidRDefault="008455BC" w:rsidP="008455BC">
      <w:pPr>
        <w:rPr>
          <w:rFonts w:ascii="Times New Roman" w:eastAsia="Times New Roman" w:hAnsi="Times New Roman" w:cs="Times New Roman"/>
          <w:color w:val="000000"/>
          <w:lang w:val="da-DK" w:eastAsia="en-GB"/>
        </w:rPr>
      </w:pPr>
    </w:p>
    <w:p w14:paraId="2E8E7AC0" w14:textId="77777777" w:rsidR="008455BC" w:rsidRPr="008455BC" w:rsidRDefault="008455BC" w:rsidP="008455BC">
      <w:pPr>
        <w:rPr>
          <w:rFonts w:ascii="Times New Roman" w:eastAsia="Times New Roman" w:hAnsi="Times New Roman" w:cs="Times New Roman"/>
          <w:color w:val="000000"/>
          <w:lang w:val="da-DK" w:eastAsia="en-GB"/>
        </w:rPr>
      </w:pPr>
      <w:r w:rsidRPr="008455BC">
        <w:rPr>
          <w:rFonts w:ascii="Calibri" w:eastAsia="Times New Roman" w:hAnsi="Calibri" w:cs="Calibri"/>
          <w:color w:val="000000"/>
          <w:sz w:val="22"/>
          <w:szCs w:val="22"/>
          <w:lang w:val="da-DK" w:eastAsia="en-GB"/>
        </w:rPr>
        <w:t xml:space="preserve">Når dette er defineret, kan vi udlede, at investoren kan påtage sig mere risiko i bytte for et højere forventet afkast. Da standardafvigelsen er et udtryk for risiko. </w:t>
      </w:r>
    </w:p>
    <w:p w14:paraId="547F9C17" w14:textId="4BD3C006" w:rsidR="008455BC" w:rsidRPr="008455BC" w:rsidRDefault="008455BC" w:rsidP="008455BC">
      <w:pPr>
        <w:rPr>
          <w:rFonts w:ascii="Calibri" w:eastAsia="Times New Roman" w:hAnsi="Calibri" w:cs="Calibri"/>
          <w:b/>
          <w:bCs/>
          <w:color w:val="000000"/>
          <w:lang w:val="da-DK" w:eastAsia="en-GB"/>
        </w:rPr>
      </w:pPr>
    </w:p>
    <w:p w14:paraId="157A74C8" w14:textId="151117D2" w:rsidR="008455BC" w:rsidRPr="008455BC" w:rsidRDefault="008455BC" w:rsidP="009C7660">
      <w:pPr>
        <w:ind w:left="720" w:hanging="720"/>
        <w:rPr>
          <w:rFonts w:ascii="Calibri" w:eastAsia="Times New Roman" w:hAnsi="Calibri" w:cs="Calibri"/>
          <w:color w:val="000000"/>
          <w:lang w:val="da-DK" w:eastAsia="en-GB"/>
        </w:rPr>
      </w:pPr>
      <w:r>
        <w:rPr>
          <w:rFonts w:ascii="Calibri" w:eastAsia="Times New Roman" w:hAnsi="Calibri" w:cs="Calibri"/>
          <w:b/>
          <w:bCs/>
          <w:color w:val="000000"/>
          <w:lang w:val="da-DK" w:eastAsia="en-GB"/>
        </w:rPr>
        <w:lastRenderedPageBreak/>
        <w:t xml:space="preserve">1.3 </w:t>
      </w:r>
    </w:p>
    <w:p w14:paraId="0BBAA46F" w14:textId="3ECEE65A" w:rsidR="008455BC" w:rsidRPr="008455BC" w:rsidRDefault="008455BC" w:rsidP="009C7660">
      <w:pPr>
        <w:ind w:left="720" w:hanging="720"/>
        <w:rPr>
          <w:rFonts w:ascii="Calibri" w:eastAsia="Times New Roman" w:hAnsi="Calibri" w:cs="Calibri"/>
          <w:b/>
          <w:bCs/>
          <w:color w:val="000000"/>
          <w:lang w:val="da-DK" w:eastAsia="en-GB"/>
        </w:rPr>
      </w:pPr>
    </w:p>
    <w:p w14:paraId="7C57035B" w14:textId="295A31D7" w:rsidR="008455BC" w:rsidRPr="008455BC" w:rsidRDefault="008455BC" w:rsidP="008455BC">
      <w:pPr>
        <w:rPr>
          <w:rFonts w:ascii="Times New Roman" w:eastAsia="Times New Roman" w:hAnsi="Times New Roman" w:cs="Times New Roman"/>
          <w:lang w:val="da-DK" w:eastAsia="en-GB"/>
        </w:rPr>
      </w:pPr>
      <w:r w:rsidRPr="008455BC">
        <w:rPr>
          <w:rFonts w:ascii="Arial" w:eastAsia="Times New Roman" w:hAnsi="Arial" w:cs="Arial"/>
          <w:color w:val="000000"/>
          <w:sz w:val="22"/>
          <w:szCs w:val="22"/>
          <w:bdr w:val="none" w:sz="0" w:space="0" w:color="auto" w:frame="1"/>
          <w:lang w:val="da-DK" w:eastAsia="en-GB"/>
        </w:rPr>
        <w:fldChar w:fldCharType="begin"/>
      </w:r>
      <w:r w:rsidRPr="008455BC">
        <w:rPr>
          <w:rFonts w:ascii="Arial" w:eastAsia="Times New Roman" w:hAnsi="Arial" w:cs="Arial"/>
          <w:color w:val="000000"/>
          <w:sz w:val="22"/>
          <w:szCs w:val="22"/>
          <w:bdr w:val="none" w:sz="0" w:space="0" w:color="auto" w:frame="1"/>
          <w:lang w:val="da-DK" w:eastAsia="en-GB"/>
        </w:rPr>
        <w:instrText xml:space="preserve"> INCLUDEPICTURE "https://lh5.googleusercontent.com/uqpZtX2CSifsMV0Agu1WfB5kxBFeCHnUR4o4ggf-qdS-cdFtqO9NN0dnCtXmHx1pj-aXQSMqhMuPZVT2-FELVFWOiPNPkw81LhxQCBnP2EfPK7ZiammKeExYwtHDmaiKn3YhjEMy" \* MERGEFORMATINET </w:instrText>
      </w:r>
      <w:r w:rsidRPr="008455BC">
        <w:rPr>
          <w:rFonts w:ascii="Arial" w:eastAsia="Times New Roman" w:hAnsi="Arial" w:cs="Arial"/>
          <w:color w:val="000000"/>
          <w:sz w:val="22"/>
          <w:szCs w:val="22"/>
          <w:bdr w:val="none" w:sz="0" w:space="0" w:color="auto" w:frame="1"/>
          <w:lang w:val="da-DK" w:eastAsia="en-GB"/>
        </w:rPr>
        <w:fldChar w:fldCharType="separate"/>
      </w:r>
      <w:r w:rsidRPr="008455BC">
        <w:rPr>
          <w:rFonts w:ascii="Arial" w:eastAsia="Times New Roman" w:hAnsi="Arial" w:cs="Arial"/>
          <w:noProof/>
          <w:color w:val="000000"/>
          <w:sz w:val="22"/>
          <w:szCs w:val="22"/>
          <w:bdr w:val="none" w:sz="0" w:space="0" w:color="auto" w:frame="1"/>
          <w:lang w:val="da-DK" w:eastAsia="en-GB"/>
        </w:rPr>
        <w:drawing>
          <wp:inline distT="0" distB="0" distL="0" distR="0" wp14:anchorId="6E8841F3" wp14:editId="68FFE688">
            <wp:extent cx="5139267" cy="4167327"/>
            <wp:effectExtent l="0" t="0" r="444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381" cy="4169852"/>
                    </a:xfrm>
                    <a:prstGeom prst="rect">
                      <a:avLst/>
                    </a:prstGeom>
                    <a:noFill/>
                    <a:ln>
                      <a:noFill/>
                    </a:ln>
                  </pic:spPr>
                </pic:pic>
              </a:graphicData>
            </a:graphic>
          </wp:inline>
        </w:drawing>
      </w:r>
      <w:r w:rsidRPr="008455BC">
        <w:rPr>
          <w:rFonts w:ascii="Arial" w:eastAsia="Times New Roman" w:hAnsi="Arial" w:cs="Arial"/>
          <w:color w:val="000000"/>
          <w:sz w:val="22"/>
          <w:szCs w:val="22"/>
          <w:bdr w:val="none" w:sz="0" w:space="0" w:color="auto" w:frame="1"/>
          <w:lang w:val="da-DK" w:eastAsia="en-GB"/>
        </w:rPr>
        <w:fldChar w:fldCharType="end"/>
      </w:r>
    </w:p>
    <w:bookmarkEnd w:id="0"/>
    <w:bookmarkEnd w:id="1"/>
    <w:p w14:paraId="5081D2E6" w14:textId="77777777" w:rsidR="008455BC" w:rsidRPr="008455BC" w:rsidRDefault="008455BC" w:rsidP="008455BC">
      <w:pPr>
        <w:rPr>
          <w:rFonts w:ascii="Calibri" w:eastAsia="Times New Roman" w:hAnsi="Calibri" w:cs="Calibri"/>
          <w:color w:val="000000"/>
          <w:lang w:val="da-DK" w:eastAsia="en-GB"/>
        </w:rPr>
      </w:pPr>
      <w:r w:rsidRPr="008455BC">
        <w:rPr>
          <w:rFonts w:ascii="Calibri" w:eastAsia="Times New Roman" w:hAnsi="Calibri" w:cs="Calibri"/>
          <w:color w:val="000000"/>
          <w:sz w:val="22"/>
          <w:szCs w:val="22"/>
          <w:lang w:val="da-DK" w:eastAsia="en-GB"/>
        </w:rPr>
        <w:t>Ud fra ovenstående tabel kan det ses, at porteføljerne med vægtning af værdipapir A på 30% eller under aldrig vil blive valgt, da de er domineret af andre porteføljesammensætninger. Fx ved en risiko på 0,140 findes et forventet afkast på 0,052 ved vægtning af A på 10%, mens ved en vægtning af A på 55% findes samme risiko, men et forventet afkast på 0,061, hvilket er 0,009 højere. </w:t>
      </w:r>
    </w:p>
    <w:p w14:paraId="1F849C98" w14:textId="77777777" w:rsidR="008455BC" w:rsidRPr="008455BC" w:rsidRDefault="008455BC" w:rsidP="008455BC">
      <w:pPr>
        <w:rPr>
          <w:rFonts w:ascii="Calibri" w:eastAsia="Times New Roman" w:hAnsi="Calibri" w:cs="Calibri"/>
          <w:color w:val="000000"/>
          <w:lang w:val="da-DK" w:eastAsia="en-GB"/>
        </w:rPr>
      </w:pPr>
    </w:p>
    <w:p w14:paraId="3D78414B" w14:textId="21D0F6EB" w:rsidR="008455BC" w:rsidRPr="008455BC" w:rsidRDefault="008455BC" w:rsidP="008455BC">
      <w:pPr>
        <w:rPr>
          <w:rFonts w:ascii="Calibri" w:eastAsia="Times New Roman" w:hAnsi="Calibri" w:cs="Calibri"/>
          <w:color w:val="000000"/>
          <w:lang w:val="da-DK" w:eastAsia="en-GB"/>
        </w:rPr>
      </w:pPr>
      <w:r w:rsidRPr="008455BC">
        <w:rPr>
          <w:rFonts w:ascii="Calibri" w:eastAsia="Times New Roman" w:hAnsi="Calibri" w:cs="Calibri"/>
          <w:color w:val="000000"/>
          <w:sz w:val="22"/>
          <w:szCs w:val="22"/>
          <w:lang w:val="da-DK" w:eastAsia="en-GB"/>
        </w:rPr>
        <w:t>Graden af risikoaversion vil påvirke, hvordan investore</w:t>
      </w:r>
      <w:r>
        <w:rPr>
          <w:rFonts w:ascii="Calibri" w:eastAsia="Times New Roman" w:hAnsi="Calibri" w:cs="Calibri"/>
          <w:color w:val="000000"/>
          <w:sz w:val="22"/>
          <w:szCs w:val="22"/>
          <w:lang w:val="da-DK" w:eastAsia="en-GB"/>
        </w:rPr>
        <w:t>n</w:t>
      </w:r>
      <w:r w:rsidRPr="008455BC">
        <w:rPr>
          <w:rFonts w:ascii="Calibri" w:eastAsia="Times New Roman" w:hAnsi="Calibri" w:cs="Calibri"/>
          <w:color w:val="000000"/>
          <w:sz w:val="22"/>
          <w:szCs w:val="22"/>
          <w:lang w:val="da-DK" w:eastAsia="en-GB"/>
        </w:rPr>
        <w:t xml:space="preserve"> vælger sin vægtning af værdipapir A. Ud fra ovenstående skema vil et forhold mellem A og B på ca. 0,5 og over befinder vi os i den optimale mængde af porteføljer. Des større forholdet bliver, des større risiko påtager investoren sig til fordel for et større forventet afkast. Grunden til dette er værdipapirs As højere standardafvigelse end B, dog også højere forventet afkast. Man kan ikke konkludere, om det er bedre eller værre ved en høj vægtning af A, da de grønne porteføljesammensætninger alle er optimale, fordi de ligger på randen. Derfor bliver det et spørgsmål om præference i forhold til graden af risiko, investoren vil påtage sig.</w:t>
      </w:r>
    </w:p>
    <w:p w14:paraId="496DBE6D" w14:textId="77777777" w:rsidR="008455BC" w:rsidRPr="008455BC" w:rsidRDefault="008455BC" w:rsidP="008455BC">
      <w:pPr>
        <w:rPr>
          <w:rFonts w:ascii="Calibri" w:eastAsia="Times New Roman" w:hAnsi="Calibri" w:cs="Calibri"/>
          <w:color w:val="000000"/>
          <w:lang w:val="da-DK" w:eastAsia="en-GB"/>
        </w:rPr>
      </w:pPr>
    </w:p>
    <w:p w14:paraId="20C2557A" w14:textId="66CD4794" w:rsidR="006012F6" w:rsidRPr="008455BC" w:rsidRDefault="008455BC" w:rsidP="008455BC">
      <w:pPr>
        <w:rPr>
          <w:rFonts w:ascii="Calibri" w:eastAsia="Times New Roman" w:hAnsi="Calibri" w:cs="Calibri"/>
          <w:color w:val="000000"/>
          <w:lang w:val="da-DK" w:eastAsia="en-GB"/>
        </w:rPr>
      </w:pPr>
      <w:r w:rsidRPr="008455BC">
        <w:rPr>
          <w:rFonts w:ascii="Calibri" w:eastAsia="Times New Roman" w:hAnsi="Calibri" w:cs="Calibri"/>
          <w:color w:val="000000"/>
          <w:sz w:val="22"/>
          <w:szCs w:val="22"/>
          <w:lang w:val="da-DK" w:eastAsia="en-GB"/>
        </w:rPr>
        <w:t xml:space="preserve">Da vi ikke har et risikofrit værdipapir, kan vi ikke konkludere, hvilken sammensætning, der mest optimal. </w:t>
      </w:r>
    </w:p>
    <w:p w14:paraId="6C3FE675" w14:textId="77777777" w:rsidR="008455BC" w:rsidRPr="008455BC" w:rsidRDefault="008455BC" w:rsidP="008455BC">
      <w:pPr>
        <w:rPr>
          <w:rFonts w:ascii="Calibri" w:eastAsia="Times New Roman" w:hAnsi="Calibri" w:cs="Calibri"/>
          <w:color w:val="000000"/>
          <w:lang w:val="da-DK" w:eastAsia="en-GB"/>
        </w:rPr>
      </w:pPr>
    </w:p>
    <w:p w14:paraId="2881AC35" w14:textId="0C0EEB88" w:rsidR="00AF2CFA" w:rsidRPr="008455BC" w:rsidRDefault="00AF2CFA" w:rsidP="009C7660">
      <w:pPr>
        <w:ind w:left="720" w:hanging="720"/>
        <w:rPr>
          <w:rFonts w:ascii="Calibri" w:eastAsia="Times New Roman" w:hAnsi="Calibri" w:cs="Calibri"/>
          <w:b/>
          <w:bCs/>
          <w:color w:val="000000"/>
          <w:lang w:val="da-DK" w:eastAsia="en-GB"/>
        </w:rPr>
      </w:pPr>
      <w:r w:rsidRPr="008455BC">
        <w:rPr>
          <w:rFonts w:ascii="Calibri" w:eastAsia="Times New Roman" w:hAnsi="Calibri" w:cs="Calibri"/>
          <w:b/>
          <w:bCs/>
          <w:color w:val="000000"/>
          <w:lang w:val="da-DK" w:eastAsia="en-GB"/>
        </w:rPr>
        <w:t>1.4</w:t>
      </w:r>
    </w:p>
    <w:p w14:paraId="336E7D19" w14:textId="5AA85297" w:rsidR="006012F6" w:rsidRPr="008455BC" w:rsidRDefault="006012F6" w:rsidP="009C7660">
      <w:pPr>
        <w:ind w:left="720" w:hanging="720"/>
        <w:rPr>
          <w:rFonts w:ascii="Calibri" w:eastAsia="Times New Roman" w:hAnsi="Calibri" w:cs="Calibri"/>
          <w:color w:val="000000"/>
          <w:lang w:val="da-DK" w:eastAsia="en-GB"/>
        </w:rPr>
      </w:pPr>
    </w:p>
    <w:p w14:paraId="130A1E95" w14:textId="06440476" w:rsidR="006012F6" w:rsidRPr="008455BC" w:rsidRDefault="006012F6" w:rsidP="006012F6">
      <w:pPr>
        <w:ind w:left="720" w:hanging="720"/>
        <w:rPr>
          <w:rFonts w:ascii="Calibri" w:eastAsia="Times New Roman" w:hAnsi="Calibri" w:cs="Calibri"/>
          <w:color w:val="000000"/>
          <w:lang w:val="da-DK" w:eastAsia="en-GB"/>
        </w:rPr>
      </w:pPr>
      <w:r w:rsidRPr="008455BC">
        <w:rPr>
          <w:rFonts w:ascii="Calibri" w:eastAsia="Times New Roman" w:hAnsi="Calibri" w:cs="Calibri"/>
          <w:color w:val="000000"/>
          <w:lang w:val="da-DK" w:eastAsia="en-GB"/>
        </w:rPr>
        <w:t>Standardafvigelsen for porteføljen bestående af T og C kan opstilles på følgende måde.</w:t>
      </w:r>
    </w:p>
    <w:p w14:paraId="24292E99" w14:textId="421336D6" w:rsidR="00AF2CFA" w:rsidRPr="008455BC" w:rsidRDefault="00AF2CFA" w:rsidP="00AF2CFA">
      <w:pPr>
        <w:rPr>
          <w:rFonts w:ascii="Calibri" w:eastAsia="Times New Roman" w:hAnsi="Calibri" w:cs="Calibri"/>
          <w:color w:val="000000"/>
          <w:lang w:val="da-DK" w:eastAsia="en-GB"/>
        </w:rPr>
      </w:pPr>
      <m:oMathPara>
        <m:oMath>
          <m:rad>
            <m:radPr>
              <m:degHide m:val="1"/>
              <m:ctrlPr>
                <w:rPr>
                  <w:rFonts w:ascii="Cambria Math" w:eastAsia="Times New Roman" w:hAnsi="Cambria Math" w:cs="Calibri"/>
                  <w:i/>
                  <w:color w:val="000000"/>
                  <w:lang w:val="da-DK" w:eastAsia="en-GB"/>
                </w:rPr>
              </m:ctrlPr>
            </m:radPr>
            <m:deg/>
            <m:e>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 xml:space="preserve"> </m:t>
              </m:r>
            </m:e>
          </m:rad>
          <m:r>
            <w:rPr>
              <w:rFonts w:ascii="Cambria Math" w:eastAsia="Times New Roman" w:hAnsi="Cambria Math" w:cs="Calibri"/>
              <w:color w:val="000000"/>
              <w:lang w:val="da-DK" w:eastAsia="en-GB"/>
            </w:rPr>
            <m:t>=</m:t>
          </m:r>
          <m:rad>
            <m:radPr>
              <m:degHide m:val="1"/>
              <m:ctrlPr>
                <w:rPr>
                  <w:rFonts w:ascii="Cambria Math" w:eastAsia="Times New Roman" w:hAnsi="Cambria Math" w:cs="Calibri"/>
                  <w:i/>
                  <w:color w:val="000000"/>
                  <w:lang w:val="da-DK" w:eastAsia="en-GB"/>
                </w:rPr>
              </m:ctrlPr>
            </m:radPr>
            <m:deg/>
            <m:e>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C</m:t>
                  </m:r>
                </m:sub>
                <m:sup>
                  <m:r>
                    <w:rPr>
                      <w:rFonts w:ascii="Cambria Math" w:eastAsia="Times New Roman" w:hAnsi="Cambria Math" w:cs="Calibri"/>
                      <w:color w:val="000000"/>
                      <w:lang w:val="da-DK" w:eastAsia="en-GB"/>
                    </w:rPr>
                    <m:t>2</m:t>
                  </m:r>
                </m:sup>
              </m:sSub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C</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m:t>
              </m:r>
              <m:sSup>
                <m:sSupPr>
                  <m:ctrlPr>
                    <w:rPr>
                      <w:rFonts w:ascii="Cambria Math" w:eastAsia="Times New Roman" w:hAnsi="Cambria Math" w:cs="Calibri"/>
                      <w:i/>
                      <w:color w:val="000000"/>
                      <w:lang w:val="da-DK" w:eastAsia="en-GB"/>
                    </w:rPr>
                  </m:ctrlPr>
                </m:sSupPr>
                <m:e>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C</m:t>
                          </m:r>
                        </m:sub>
                      </m:sSub>
                    </m:e>
                  </m:d>
                </m:e>
                <m:sup>
                  <m:r>
                    <w:rPr>
                      <w:rFonts w:ascii="Cambria Math" w:eastAsia="Times New Roman" w:hAnsi="Cambria Math" w:cs="Calibri"/>
                      <w:color w:val="000000"/>
                      <w:lang w:val="da-DK" w:eastAsia="en-GB"/>
                    </w:rPr>
                    <m:t>2</m:t>
                  </m:r>
                </m:sup>
              </m:s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T</m:t>
                  </m:r>
                </m:sub>
                <m:sup>
                  <m:r>
                    <w:rPr>
                      <w:rFonts w:ascii="Cambria Math" w:eastAsia="Times New Roman" w:hAnsi="Cambria Math" w:cs="Calibri"/>
                      <w:color w:val="000000"/>
                      <w:lang w:val="da-DK" w:eastAsia="en-GB"/>
                    </w:rPr>
                    <m:t>2</m:t>
                  </m:r>
                </m:sup>
              </m:sSubSup>
              <m:r>
                <w:rPr>
                  <w:rFonts w:ascii="Cambria Math" w:eastAsia="Times New Roman" w:hAnsi="Cambria Math" w:cs="Calibri"/>
                  <w:color w:val="000000"/>
                  <w:lang w:val="da-DK" w:eastAsia="en-GB"/>
                </w:rPr>
                <m:t>+2</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C</m:t>
                  </m:r>
                </m:sub>
              </m:sSub>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C</m:t>
                      </m:r>
                    </m:sub>
                  </m:sSub>
                </m:e>
              </m:d>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·ρ</m:t>
                  </m:r>
                </m:e>
                <m:sub>
                  <m:r>
                    <w:rPr>
                      <w:rFonts w:ascii="Cambria Math" w:eastAsia="Times New Roman" w:hAnsi="Cambria Math" w:cs="Calibri"/>
                      <w:color w:val="000000"/>
                      <w:lang w:val="da-DK" w:eastAsia="en-GB"/>
                    </w:rPr>
                    <m:t>TC</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T</m:t>
                  </m:r>
                </m:sub>
              </m:sSub>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C</m:t>
                  </m:r>
                </m:sub>
              </m:sSub>
            </m:e>
          </m:rad>
        </m:oMath>
      </m:oMathPara>
    </w:p>
    <w:p w14:paraId="62E127A0" w14:textId="6C268391" w:rsidR="009178CD" w:rsidRPr="008455BC" w:rsidRDefault="00AD4379" w:rsidP="00AF2CFA">
      <w:pPr>
        <w:rPr>
          <w:rFonts w:ascii="Calibri" w:eastAsia="Times New Roman" w:hAnsi="Calibri" w:cs="Calibri"/>
          <w:color w:val="000000"/>
          <w:lang w:val="da-DK" w:eastAsia="en-GB"/>
        </w:rPr>
      </w:pPr>
      <w:r w:rsidRPr="008455BC">
        <w:rPr>
          <w:rFonts w:ascii="Calibri" w:eastAsia="Times New Roman" w:hAnsi="Calibri" w:cs="Calibri"/>
          <w:color w:val="000000"/>
          <w:lang w:val="da-DK" w:eastAsia="en-GB"/>
        </w:rPr>
        <w:t xml:space="preserve">Da vi har med et risikofrit aktiv at gøre kan dette omskrives til: </w:t>
      </w:r>
      <w:r w:rsidRPr="008455BC">
        <w:rPr>
          <w:rFonts w:ascii="Calibri" w:eastAsia="Times New Roman" w:hAnsi="Calibri" w:cs="Calibri"/>
          <w:color w:val="000000"/>
          <w:lang w:val="da-DK" w:eastAsia="en-GB"/>
        </w:rPr>
        <w:br/>
      </w:r>
      <m:oMathPara>
        <m:oMath>
          <m:rad>
            <m:radPr>
              <m:degHide m:val="1"/>
              <m:ctrlPr>
                <w:rPr>
                  <w:rFonts w:ascii="Cambria Math" w:eastAsia="Times New Roman" w:hAnsi="Cambria Math" w:cs="Calibri"/>
                  <w:i/>
                  <w:color w:val="000000"/>
                  <w:lang w:val="da-DK" w:eastAsia="en-GB"/>
                </w:rPr>
              </m:ctrlPr>
            </m:radPr>
            <m:deg/>
            <m:e>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σ</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m:t xml:space="preserve"> </m:t>
              </m:r>
            </m:e>
          </m:rad>
          <m:r>
            <w:rPr>
              <w:rFonts w:ascii="Cambria Math" w:eastAsia="Times New Roman" w:hAnsi="Cambria Math" w:cs="Calibri"/>
              <w:color w:val="000000"/>
              <w:lang w:val="da-DK" w:eastAsia="en-GB"/>
            </w:rPr>
            <m:t>=</m:t>
          </m:r>
          <m:rad>
            <m:radPr>
              <m:degHide m:val="1"/>
              <m:ctrlPr>
                <w:rPr>
                  <w:rFonts w:ascii="Cambria Math" w:eastAsia="Times New Roman" w:hAnsi="Cambria Math" w:cs="Calibri"/>
                  <w:i/>
                  <w:color w:val="000000"/>
                  <w:lang w:val="da-DK" w:eastAsia="en-GB"/>
                </w:rPr>
              </m:ctrlPr>
            </m:radPr>
            <m:deg/>
            <m:e>
              <m:sSup>
                <m:sSupPr>
                  <m:ctrlPr>
                    <w:rPr>
                      <w:rFonts w:ascii="Cambria Math" w:eastAsia="Times New Roman" w:hAnsi="Cambria Math" w:cs="Calibri"/>
                      <w:i/>
                      <w:color w:val="000000"/>
                      <w:lang w:val="da-DK" w:eastAsia="en-GB"/>
                    </w:rPr>
                  </m:ctrlPr>
                </m:sSupPr>
                <m:e>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C</m:t>
                          </m:r>
                        </m:sub>
                      </m:sSub>
                    </m:e>
                  </m:d>
                </m:e>
                <m:sup>
                  <m:r>
                    <w:rPr>
                      <w:rFonts w:ascii="Cambria Math" w:eastAsia="Times New Roman" w:hAnsi="Cambria Math" w:cs="Calibri"/>
                      <w:color w:val="000000"/>
                      <w:lang w:val="da-DK" w:eastAsia="en-GB"/>
                    </w:rPr>
                    <m:t>2</m:t>
                  </m:r>
                </m:sup>
              </m:sSup>
              <m:sSubSup>
                <m:sSubSupPr>
                  <m:ctrlPr>
                    <w:rPr>
                      <w:rFonts w:ascii="Cambria Math" w:eastAsia="Times New Roman" w:hAnsi="Cambria Math" w:cs="Calibri"/>
                      <w:i/>
                      <w:color w:val="000000"/>
                      <w:lang w:val="da-DK" w:eastAsia="en-GB"/>
                    </w:rPr>
                  </m:ctrlPr>
                </m:sSubSupPr>
                <m:e>
                  <m:r>
                    <w:rPr>
                      <w:rFonts w:ascii="Cambria Math" w:eastAsia="Times New Roman" w:hAnsi="Cambria Math" w:cs="Calibri"/>
                      <w:color w:val="000000"/>
                      <w:lang w:val="da-DK" w:eastAsia="en-GB"/>
                    </w:rPr>
                    <m:t>σ</m:t>
                  </m:r>
                </m:e>
                <m:sub>
                  <m:r>
                    <w:rPr>
                      <w:rFonts w:ascii="Cambria Math" w:eastAsia="Times New Roman" w:hAnsi="Cambria Math" w:cs="Calibri"/>
                      <w:color w:val="000000"/>
                      <w:lang w:val="da-DK" w:eastAsia="en-GB"/>
                    </w:rPr>
                    <m:t>T</m:t>
                  </m:r>
                </m:sub>
                <m:sup>
                  <m:r>
                    <w:rPr>
                      <w:rFonts w:ascii="Cambria Math" w:eastAsia="Times New Roman" w:hAnsi="Cambria Math" w:cs="Calibri"/>
                      <w:color w:val="000000"/>
                      <w:lang w:val="da-DK" w:eastAsia="en-GB"/>
                    </w:rPr>
                    <m:t>2</m:t>
                  </m:r>
                </m:sup>
              </m:sSubSup>
            </m:e>
          </m:rad>
        </m:oMath>
      </m:oMathPara>
    </w:p>
    <w:p w14:paraId="171EB33A" w14:textId="39BD4FF1" w:rsidR="006012F6" w:rsidRPr="008455BC" w:rsidRDefault="006012F6" w:rsidP="00AF2CFA">
      <w:pPr>
        <w:rPr>
          <w:rFonts w:ascii="Calibri" w:eastAsia="Times New Roman" w:hAnsi="Calibri" w:cs="Calibri"/>
          <w:color w:val="000000"/>
          <w:lang w:val="da-DK" w:eastAsia="en-GB"/>
        </w:rPr>
      </w:pPr>
      <w:r w:rsidRPr="008455BC">
        <w:rPr>
          <w:rFonts w:ascii="Calibri" w:eastAsia="Times New Roman" w:hAnsi="Calibri" w:cs="Calibri"/>
          <w:color w:val="000000"/>
          <w:lang w:val="da-DK" w:eastAsia="en-GB"/>
        </w:rPr>
        <w:lastRenderedPageBreak/>
        <w:t xml:space="preserve">Herved kan udtrykket for det forventede afkast også opstilles. </w:t>
      </w:r>
    </w:p>
    <w:p w14:paraId="047ED4AF" w14:textId="7A4ED1CB" w:rsidR="00AF2CFA" w:rsidRPr="008455BC" w:rsidRDefault="00AF2CFA" w:rsidP="00AF2CFA">
      <w:pPr>
        <w:rPr>
          <w:rFonts w:ascii="Calibri" w:eastAsia="Times New Roman" w:hAnsi="Calibri" w:cs="Calibri"/>
          <w:color w:val="000000"/>
          <w:lang w:val="da-DK" w:eastAsia="en-GB"/>
        </w:rPr>
      </w:pPr>
      <m:oMathPara>
        <m:oMath>
          <m:r>
            <w:rPr>
              <w:rFonts w:ascii="Cambria Math" w:eastAsia="Times New Roman" w:hAnsi="Cambria Math" w:cs="Calibri"/>
              <w:color w:val="000000"/>
              <w:lang w:val="da-DK" w:eastAsia="en-GB"/>
            </w:rPr>
            <m:t>E</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CT</m:t>
              </m:r>
            </m:e>
          </m:d>
          <m:r>
            <w:rPr>
              <w:rFonts w:ascii="Cambria Math" w:eastAsia="Times New Roman" w:hAnsi="Cambria Math" w:cs="Calibri"/>
              <w:color w:val="000000"/>
              <w:lang w:val="da-DK" w:eastAsia="en-GB"/>
            </w:rPr>
            <m:t>=</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C</m:t>
              </m:r>
            </m:sub>
          </m:sSub>
          <m:r>
            <w:rPr>
              <w:rFonts w:ascii="Cambria Math" w:eastAsia="Times New Roman" w:hAnsi="Cambria Math" w:cs="Calibri"/>
              <w:color w:val="000000"/>
              <w:lang w:val="da-DK" w:eastAsia="en-GB"/>
            </w:rPr>
            <m:t>·E</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C</m:t>
              </m:r>
            </m:e>
          </m:d>
          <m:r>
            <w:rPr>
              <w:rFonts w:ascii="Cambria Math" w:eastAsia="Times New Roman" w:hAnsi="Cambria Math" w:cs="Calibri"/>
              <w:color w:val="000000"/>
              <w:lang w:val="da-DK" w:eastAsia="en-GB"/>
            </w:rPr>
            <m:t>+</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1-</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C</m:t>
                  </m:r>
                </m:sub>
              </m:sSub>
            </m:e>
          </m:d>
          <m:r>
            <w:rPr>
              <w:rFonts w:ascii="Cambria Math" w:eastAsia="Times New Roman" w:hAnsi="Cambria Math" w:cs="Calibri"/>
              <w:color w:val="000000"/>
              <w:lang w:val="da-DK" w:eastAsia="en-GB"/>
            </w:rPr>
            <m:t>·E</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T</m:t>
              </m:r>
            </m:e>
          </m:d>
        </m:oMath>
      </m:oMathPara>
    </w:p>
    <w:p w14:paraId="5B6A6BD9" w14:textId="61D73217" w:rsidR="00AF2CFA" w:rsidRDefault="008455BC" w:rsidP="00AF2CFA">
      <w:pPr>
        <w:rPr>
          <w:rFonts w:ascii="Calibri" w:eastAsia="Times New Roman" w:hAnsi="Calibri" w:cs="Calibri"/>
          <w:b/>
          <w:bCs/>
          <w:color w:val="000000"/>
          <w:lang w:val="da-DK" w:eastAsia="en-GB"/>
        </w:rPr>
      </w:pPr>
      <w:r>
        <w:rPr>
          <w:rFonts w:ascii="Calibri" w:eastAsia="Times New Roman" w:hAnsi="Calibri" w:cs="Calibri"/>
          <w:b/>
          <w:bCs/>
          <w:color w:val="000000"/>
          <w:lang w:val="da-DK" w:eastAsia="en-GB"/>
        </w:rPr>
        <w:t>1.5</w:t>
      </w:r>
    </w:p>
    <w:p w14:paraId="17A98A34" w14:textId="248FD2B6" w:rsidR="008455BC" w:rsidRDefault="008455BC" w:rsidP="00AF2CFA">
      <w:pPr>
        <w:rPr>
          <w:rFonts w:ascii="Calibri" w:eastAsia="Times New Roman" w:hAnsi="Calibri" w:cs="Calibri"/>
          <w:color w:val="000000"/>
          <w:lang w:val="da-DK" w:eastAsia="en-GB"/>
        </w:rPr>
      </w:pPr>
      <w:r>
        <w:rPr>
          <w:noProof/>
        </w:rPr>
        <w:drawing>
          <wp:inline distT="0" distB="0" distL="0" distR="0" wp14:anchorId="4DABDD1F" wp14:editId="0D4BE5DC">
            <wp:extent cx="4936067" cy="3505200"/>
            <wp:effectExtent l="0" t="0" r="17145" b="12700"/>
            <wp:docPr id="3" name="Chart 3">
              <a:extLst xmlns:a="http://schemas.openxmlformats.org/drawingml/2006/main">
                <a:ext uri="{FF2B5EF4-FFF2-40B4-BE49-F238E27FC236}">
                  <a16:creationId xmlns:a16="http://schemas.microsoft.com/office/drawing/2014/main" id="{CCF1C9F3-DB29-F04B-8867-99C0EA53F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9355BA" w14:textId="17CF1CF6" w:rsidR="008455BC" w:rsidRDefault="008455BC" w:rsidP="00AF2CFA">
      <w:pPr>
        <w:rPr>
          <w:rFonts w:ascii="Calibri" w:eastAsia="Times New Roman" w:hAnsi="Calibri" w:cs="Calibri"/>
          <w:color w:val="000000"/>
          <w:lang w:val="da-DK" w:eastAsia="en-GB"/>
        </w:rPr>
      </w:pPr>
    </w:p>
    <w:p w14:paraId="42B4B3B4" w14:textId="43BB722E" w:rsidR="008455BC" w:rsidRDefault="008455BC" w:rsidP="00AF2CFA">
      <w:pPr>
        <w:rPr>
          <w:rFonts w:ascii="Calibri" w:eastAsia="Times New Roman" w:hAnsi="Calibri" w:cs="Calibri"/>
          <w:color w:val="000000"/>
          <w:lang w:val="da-DK" w:eastAsia="en-GB"/>
        </w:rPr>
      </w:pPr>
      <w:r>
        <w:rPr>
          <w:rFonts w:ascii="Calibri" w:eastAsia="Times New Roman" w:hAnsi="Calibri" w:cs="Calibri"/>
          <w:color w:val="000000"/>
          <w:lang w:val="da-DK" w:eastAsia="en-GB"/>
        </w:rPr>
        <w:t>Vi får kapitalmarkedslinjen</w:t>
      </w:r>
      <w:r w:rsidR="00097974">
        <w:rPr>
          <w:rFonts w:ascii="Calibri" w:eastAsia="Times New Roman" w:hAnsi="Calibri" w:cs="Calibri"/>
          <w:color w:val="000000"/>
          <w:lang w:val="da-DK" w:eastAsia="en-GB"/>
        </w:rPr>
        <w:t xml:space="preserve">. Linjens skæringspunkt med CAPM-modellen udtrykker den optimale portefølje sammensætning mellem det risikofrie værdipapir og portefølje T. Her af kan markedsporteføljen udledes. Bag dette ligger en antagelse om efficiente markeder, hvilket gør markedsporteføljen til den mest optimale, hvor ved investoren bør vælge denne. </w:t>
      </w:r>
    </w:p>
    <w:p w14:paraId="091830F2" w14:textId="001A6C6A" w:rsidR="00097974" w:rsidRDefault="00097974" w:rsidP="00AF2CFA">
      <w:pPr>
        <w:rPr>
          <w:rFonts w:ascii="Calibri" w:eastAsia="Times New Roman" w:hAnsi="Calibri" w:cs="Calibri"/>
          <w:color w:val="000000"/>
          <w:lang w:val="da-DK" w:eastAsia="en-GB"/>
        </w:rPr>
      </w:pPr>
    </w:p>
    <w:p w14:paraId="10BDD057" w14:textId="74B69B9C" w:rsidR="00097974" w:rsidRDefault="00097974" w:rsidP="00AF2CFA">
      <w:pPr>
        <w:rPr>
          <w:rFonts w:ascii="Calibri" w:eastAsia="Times New Roman" w:hAnsi="Calibri" w:cs="Calibri"/>
          <w:color w:val="000000"/>
          <w:lang w:val="da-DK" w:eastAsia="en-GB"/>
        </w:rPr>
      </w:pPr>
      <w:r>
        <w:rPr>
          <w:rFonts w:ascii="Calibri" w:eastAsia="Times New Roman" w:hAnsi="Calibri" w:cs="Calibri"/>
          <w:color w:val="000000"/>
          <w:lang w:val="da-DK" w:eastAsia="en-GB"/>
        </w:rPr>
        <w:t xml:space="preserve">Hvis </w:t>
      </w:r>
      <m:oMath>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c</m:t>
            </m:r>
          </m:sub>
        </m:sSub>
        <m:r>
          <w:rPr>
            <w:rFonts w:ascii="Cambria Math" w:eastAsia="Times New Roman" w:hAnsi="Cambria Math" w:cs="Calibri"/>
            <w:color w:val="000000"/>
            <w:lang w:val="da-DK" w:eastAsia="en-GB"/>
          </w:rPr>
          <m:t>&lt;0</m:t>
        </m:r>
      </m:oMath>
      <w:r>
        <w:rPr>
          <w:rFonts w:ascii="Calibri" w:eastAsia="Times New Roman" w:hAnsi="Calibri" w:cs="Calibri"/>
          <w:color w:val="000000"/>
          <w:lang w:val="da-DK" w:eastAsia="en-GB"/>
        </w:rPr>
        <w:t xml:space="preserve"> betyder det, man har en negativ andel i </w:t>
      </w:r>
      <m:oMath>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C</m:t>
            </m:r>
          </m:sub>
        </m:sSub>
      </m:oMath>
      <w:r>
        <w:rPr>
          <w:rFonts w:ascii="Calibri" w:eastAsia="Times New Roman" w:hAnsi="Calibri" w:cs="Calibri"/>
          <w:color w:val="000000"/>
          <w:lang w:val="da-DK" w:eastAsia="en-GB"/>
        </w:rPr>
        <w:t xml:space="preserve">, hvilket giver en større </w:t>
      </w:r>
      <m:oMath>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W</m:t>
            </m:r>
          </m:e>
          <m:sub>
            <m:r>
              <w:rPr>
                <w:rFonts w:ascii="Cambria Math" w:eastAsia="Times New Roman" w:hAnsi="Cambria Math" w:cs="Calibri"/>
                <w:color w:val="000000"/>
                <w:lang w:val="da-DK" w:eastAsia="en-GB"/>
              </w:rPr>
              <m:t>CT</m:t>
            </m:r>
          </m:sub>
        </m:sSub>
      </m:oMath>
      <w:r>
        <w:rPr>
          <w:rFonts w:ascii="Calibri" w:eastAsia="Times New Roman" w:hAnsi="Calibri" w:cs="Calibri"/>
          <w:color w:val="000000"/>
          <w:lang w:val="da-DK" w:eastAsia="en-GB"/>
        </w:rPr>
        <w:t xml:space="preserve">, som er finansieret gennem et lån.  </w:t>
      </w:r>
    </w:p>
    <w:p w14:paraId="58C29C2E" w14:textId="3CEE7258" w:rsidR="00097974" w:rsidRDefault="00097974" w:rsidP="00AF2CFA">
      <w:pPr>
        <w:rPr>
          <w:rFonts w:ascii="Calibri" w:eastAsia="Times New Roman" w:hAnsi="Calibri" w:cs="Calibri"/>
          <w:color w:val="000000"/>
          <w:lang w:val="da-DK" w:eastAsia="en-GB"/>
        </w:rPr>
      </w:pPr>
    </w:p>
    <w:p w14:paraId="22A56772" w14:textId="7EB553CE" w:rsidR="00097974" w:rsidRDefault="00097974" w:rsidP="00AF2CFA">
      <w:pPr>
        <w:rPr>
          <w:rFonts w:ascii="Calibri" w:eastAsia="Times New Roman" w:hAnsi="Calibri" w:cs="Calibri"/>
          <w:color w:val="000000"/>
          <w:lang w:val="da-DK" w:eastAsia="en-GB"/>
        </w:rPr>
      </w:pPr>
      <w:r>
        <w:rPr>
          <w:rFonts w:ascii="Calibri" w:eastAsia="Times New Roman" w:hAnsi="Calibri" w:cs="Calibri"/>
          <w:b/>
          <w:bCs/>
          <w:color w:val="000000"/>
          <w:lang w:val="da-DK" w:eastAsia="en-GB"/>
        </w:rPr>
        <w:t>1.6</w:t>
      </w:r>
    </w:p>
    <w:p w14:paraId="0D5D1015" w14:textId="77777777" w:rsidR="00097974" w:rsidRPr="00097974" w:rsidRDefault="00097974" w:rsidP="00306DC0">
      <w:pPr>
        <w:ind w:left="720" w:hanging="720"/>
        <w:rPr>
          <w:rFonts w:ascii="Calibri" w:eastAsia="Times New Roman" w:hAnsi="Calibri" w:cs="Calibri"/>
          <w:color w:val="000000"/>
          <w:lang w:val="da-DK" w:eastAsia="en-GB"/>
        </w:rPr>
      </w:pPr>
    </w:p>
    <w:p w14:paraId="05E71D4C" w14:textId="77777777" w:rsidR="009178CD" w:rsidRPr="009178CD" w:rsidRDefault="009178CD" w:rsidP="009178CD">
      <w:pPr>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Det risikofrie aktiv udvider mængden af mulige porteføljer og ændrer mængden af efficiente porteføljer. Alle efficiente porteføljer består nu af en kombination mellem det risikofrie aktiv og markedsporteføljen (kapitalmarkedslinjen)</w:t>
      </w:r>
    </w:p>
    <w:p w14:paraId="0E5BAB54" w14:textId="77777777" w:rsidR="009178CD" w:rsidRPr="009178CD" w:rsidRDefault="009178CD" w:rsidP="009178CD">
      <w:pPr>
        <w:rPr>
          <w:rFonts w:ascii="Calibri" w:eastAsia="Times New Roman" w:hAnsi="Calibri" w:cs="Calibri"/>
          <w:color w:val="000000"/>
          <w:lang w:val="da-DK" w:eastAsia="en-GB"/>
        </w:rPr>
      </w:pPr>
    </w:p>
    <w:p w14:paraId="3CA187BF" w14:textId="31EEC925" w:rsidR="009178CD" w:rsidRDefault="009178CD" w:rsidP="009178CD">
      <w:pPr>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Det særlige ved tangentporteføljen T er at det er netop denne kombination af vægten mellem værdipapir A og værdipapir B som skærer kapitalmarkedslinjen</w:t>
      </w:r>
    </w:p>
    <w:p w14:paraId="30A74C63" w14:textId="77777777" w:rsidR="009178CD" w:rsidRPr="009178CD" w:rsidRDefault="009178CD" w:rsidP="009178CD">
      <w:pPr>
        <w:rPr>
          <w:rFonts w:ascii="Calibri" w:eastAsia="Times New Roman" w:hAnsi="Calibri" w:cs="Calibri"/>
          <w:color w:val="000000"/>
          <w:lang w:val="da-DK" w:eastAsia="en-GB"/>
        </w:rPr>
      </w:pPr>
    </w:p>
    <w:p w14:paraId="368BEBE1" w14:textId="4362A9B4" w:rsidR="009178CD" w:rsidRPr="009178CD" w:rsidRDefault="009178CD" w:rsidP="009178CD">
      <w:pPr>
        <w:spacing w:after="240"/>
        <w:rPr>
          <w:rFonts w:ascii="Calibri" w:eastAsia="Times New Roman" w:hAnsi="Calibri" w:cs="Calibri"/>
          <w:b/>
          <w:bCs/>
          <w:lang w:val="da-DK" w:eastAsia="en-GB"/>
        </w:rPr>
      </w:pPr>
      <w:r w:rsidRPr="009178CD">
        <w:rPr>
          <w:rFonts w:ascii="Calibri" w:eastAsia="Times New Roman" w:hAnsi="Calibri" w:cs="Calibri"/>
          <w:b/>
          <w:bCs/>
          <w:lang w:val="da-DK" w:eastAsia="en-GB"/>
        </w:rPr>
        <w:t>1.7</w:t>
      </w:r>
    </w:p>
    <w:p w14:paraId="22DDD58B" w14:textId="3355E933" w:rsidR="009178CD" w:rsidRDefault="009178CD" w:rsidP="009178CD">
      <w:pPr>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 xml:space="preserve">Med det risikofrie aktiv vil investorens risiko præferencer bestemme vægtfordelingen mellem markedsporteføljen og det risikofrie aktiv. En investor med høj risikoaversion vil vælge højere andel i det risikofrie aktiv og mindre andel i markedsporteføljen. Omvendt for en lav risikoaversion. Ift. spørgsmål 1.3 vil vægtene mellem værdipapir A og værdipapir B være ens trods risikoaversionen for den enkelte investor. Forskellen vil nu ligge i vægt </w:t>
      </w:r>
      <w:r w:rsidRPr="009178CD">
        <w:rPr>
          <w:rFonts w:ascii="Calibri" w:eastAsia="Times New Roman" w:hAnsi="Calibri" w:cs="Calibri"/>
          <w:color w:val="000000"/>
          <w:lang w:val="da-DK" w:eastAsia="en-GB"/>
        </w:rPr>
        <w:lastRenderedPageBreak/>
        <w:t xml:space="preserve">fordelingen mellem det risikofrie aktiv og markedsporteføljen. Den optimale vægt fordeling mellem værdipapir A og værdipapir B findes hvor kapitalmarkedslinjen skærer markedsporteføljen, kaldes tangentporteføljen. </w:t>
      </w:r>
    </w:p>
    <w:p w14:paraId="01E009BF" w14:textId="0AE28B0E" w:rsidR="009178CD" w:rsidRDefault="009178CD" w:rsidP="009178CD">
      <w:pPr>
        <w:rPr>
          <w:rFonts w:ascii="Calibri" w:eastAsia="Times New Roman" w:hAnsi="Calibri" w:cs="Calibri"/>
          <w:color w:val="000000"/>
          <w:lang w:val="da-DK" w:eastAsia="en-GB"/>
        </w:rPr>
      </w:pPr>
    </w:p>
    <w:p w14:paraId="6488F5B8" w14:textId="77777777" w:rsidR="009178CD" w:rsidRPr="009178CD" w:rsidRDefault="009178CD" w:rsidP="009178CD">
      <w:pPr>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 xml:space="preserve">Som ny investor skal der tænkes over to ting. Afkast og risiko. Historisk vil risikofyldte værdipapirer give et højere afkast og omvendt. Tænk her statsobligationer kontra </w:t>
      </w:r>
      <w:proofErr w:type="spellStart"/>
      <w:r w:rsidRPr="009178CD">
        <w:rPr>
          <w:rFonts w:ascii="Calibri" w:eastAsia="Times New Roman" w:hAnsi="Calibri" w:cs="Calibri"/>
          <w:color w:val="000000"/>
          <w:lang w:val="da-DK" w:eastAsia="en-GB"/>
        </w:rPr>
        <w:t>Gamestop</w:t>
      </w:r>
      <w:proofErr w:type="spellEnd"/>
      <w:r w:rsidRPr="009178CD">
        <w:rPr>
          <w:rFonts w:ascii="Calibri" w:eastAsia="Times New Roman" w:hAnsi="Calibri" w:cs="Calibri"/>
          <w:color w:val="000000"/>
          <w:lang w:val="da-DK" w:eastAsia="en-GB"/>
        </w:rPr>
        <w:t xml:space="preserve">. Statsobligationer har lille til ingen risiko kontra </w:t>
      </w:r>
      <w:proofErr w:type="spellStart"/>
      <w:r w:rsidRPr="009178CD">
        <w:rPr>
          <w:rFonts w:ascii="Calibri" w:eastAsia="Times New Roman" w:hAnsi="Calibri" w:cs="Calibri"/>
          <w:color w:val="000000"/>
          <w:lang w:val="da-DK" w:eastAsia="en-GB"/>
        </w:rPr>
        <w:t>Gamestop</w:t>
      </w:r>
      <w:proofErr w:type="spellEnd"/>
      <w:r w:rsidRPr="009178CD">
        <w:rPr>
          <w:rFonts w:ascii="Calibri" w:eastAsia="Times New Roman" w:hAnsi="Calibri" w:cs="Calibri"/>
          <w:color w:val="000000"/>
          <w:lang w:val="da-DK" w:eastAsia="en-GB"/>
        </w:rPr>
        <w:t>, som man i en længere periode ikke vidste, hvor man har haft. Porteføljeteori opgør alle de efficiente porteføljesammensætninger. CAPM-modellen udvider med et risikofrit aktiv. Altså sammensætningen mellem et risikofrit aktiv og vores markedsportefølje. Modellen antager dog, </w:t>
      </w:r>
    </w:p>
    <w:p w14:paraId="75477C84" w14:textId="77777777" w:rsidR="009178CD" w:rsidRPr="009178CD" w:rsidRDefault="009178CD" w:rsidP="009178CD">
      <w:pPr>
        <w:numPr>
          <w:ilvl w:val="0"/>
          <w:numId w:val="1"/>
        </w:numPr>
        <w:textAlignment w:val="baseline"/>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at man kan investere i et risikofrit aktiv </w:t>
      </w:r>
    </w:p>
    <w:p w14:paraId="5280CAA4" w14:textId="77777777" w:rsidR="009178CD" w:rsidRPr="009178CD" w:rsidRDefault="009178CD" w:rsidP="009178CD">
      <w:pPr>
        <w:numPr>
          <w:ilvl w:val="0"/>
          <w:numId w:val="1"/>
        </w:numPr>
        <w:textAlignment w:val="baseline"/>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at alle investorer har tilsvarende kundskaber og bruger samme metodiske værktøjer </w:t>
      </w:r>
    </w:p>
    <w:p w14:paraId="31EAC4A1" w14:textId="77777777" w:rsidR="009178CD" w:rsidRPr="009178CD" w:rsidRDefault="009178CD" w:rsidP="009178CD">
      <w:pPr>
        <w:numPr>
          <w:ilvl w:val="0"/>
          <w:numId w:val="1"/>
        </w:numPr>
        <w:textAlignment w:val="baseline"/>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at investorerne er små, og investorerne har samme tidshorisont. </w:t>
      </w:r>
    </w:p>
    <w:p w14:paraId="1686202B" w14:textId="77777777" w:rsidR="009178CD" w:rsidRPr="009178CD" w:rsidRDefault="009178CD" w:rsidP="009178CD">
      <w:pPr>
        <w:numPr>
          <w:ilvl w:val="0"/>
          <w:numId w:val="1"/>
        </w:numPr>
        <w:textAlignment w:val="baseline"/>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at der ikke tages højde for inflation, gebyrer el. </w:t>
      </w:r>
    </w:p>
    <w:p w14:paraId="328CD6A2" w14:textId="1FFB5228" w:rsidR="009178CD" w:rsidRPr="009178CD" w:rsidRDefault="009178CD" w:rsidP="009178CD">
      <w:pPr>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CAPM-modellens centrale ligning, der beskriver forholdet mellem det forventede afkast og risiko, udledes ved</w:t>
      </w:r>
      <w:r>
        <w:rPr>
          <w:rFonts w:ascii="Calibri" w:eastAsia="Times New Roman" w:hAnsi="Calibri" w:cs="Calibri"/>
          <w:color w:val="000000"/>
          <w:lang w:val="da-DK" w:eastAsia="en-GB"/>
        </w:rPr>
        <w:t>:</w:t>
      </w:r>
    </w:p>
    <w:p w14:paraId="53E00FC2" w14:textId="09490168" w:rsidR="009178CD" w:rsidRDefault="009178CD" w:rsidP="009178CD">
      <w:pPr>
        <w:rPr>
          <w:rFonts w:ascii="Calibri" w:eastAsia="Times New Roman" w:hAnsi="Calibri" w:cs="Calibri"/>
          <w:color w:val="000000"/>
          <w:lang w:val="da-DK" w:eastAsia="en-GB"/>
        </w:rPr>
      </w:pPr>
      <m:oMathPara>
        <m:oMath>
          <m:r>
            <w:rPr>
              <w:rFonts w:ascii="Cambria Math" w:eastAsia="Times New Roman" w:hAnsi="Cambria Math" w:cs="Calibri"/>
              <w:color w:val="000000"/>
              <w:lang w:val="da-DK" w:eastAsia="en-GB"/>
            </w:rPr>
            <m:t>Krav til forventet afkast=RF+</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β</m:t>
              </m:r>
            </m:e>
            <m:sub>
              <m:r>
                <w:rPr>
                  <w:rFonts w:ascii="Cambria Math" w:eastAsia="Times New Roman" w:hAnsi="Cambria Math" w:cs="Calibri"/>
                  <w:color w:val="000000"/>
                  <w:lang w:val="da-DK" w:eastAsia="en-GB"/>
                </w:rPr>
                <m:t>i</m:t>
              </m:r>
            </m:sub>
          </m:sSub>
          <m:r>
            <w:rPr>
              <w:rFonts w:ascii="Cambria Math" w:eastAsia="Times New Roman" w:hAnsi="Cambria Math" w:cs="Calibri"/>
              <w:color w:val="000000"/>
              <w:lang w:val="da-DK" w:eastAsia="en-GB"/>
            </w:rPr>
            <m:t>(E(</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R</m:t>
              </m:r>
            </m:e>
            <m:sub>
              <m:r>
                <w:rPr>
                  <w:rFonts w:ascii="Cambria Math" w:eastAsia="Times New Roman" w:hAnsi="Cambria Math" w:cs="Calibri"/>
                  <w:color w:val="000000"/>
                  <w:lang w:val="da-DK" w:eastAsia="en-GB"/>
                </w:rPr>
                <m:t>M</m:t>
              </m:r>
            </m:sub>
          </m:sSub>
          <m:r>
            <w:rPr>
              <w:rFonts w:ascii="Cambria Math" w:eastAsia="Times New Roman" w:hAnsi="Cambria Math" w:cs="Calibri"/>
              <w:color w:val="000000"/>
              <w:lang w:val="da-DK" w:eastAsia="en-GB"/>
            </w:rPr>
            <m:t>)-RF)</m:t>
          </m:r>
        </m:oMath>
      </m:oMathPara>
    </w:p>
    <w:p w14:paraId="4AE28CEB" w14:textId="7129F69C" w:rsidR="009178CD" w:rsidRPr="009178CD" w:rsidRDefault="009178CD" w:rsidP="009178CD">
      <w:pPr>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Her udtrykker RF det risikofrie aktiv, Beta kan nøgternt kaldes prisen for risikoen, mens parentesen udtrykker præmien ved markedsporteføljen</w:t>
      </w:r>
      <w:r>
        <w:rPr>
          <w:rFonts w:ascii="Calibri" w:eastAsia="Times New Roman" w:hAnsi="Calibri" w:cs="Calibri"/>
          <w:color w:val="000000"/>
          <w:lang w:val="da-DK" w:eastAsia="en-GB"/>
        </w:rPr>
        <w:t xml:space="preserve">. Samlet forventet afkast fratrukket det risikofire afkast. </w:t>
      </w:r>
      <w:r w:rsidRPr="009178CD">
        <w:rPr>
          <w:rFonts w:ascii="Calibri" w:eastAsia="Times New Roman" w:hAnsi="Calibri" w:cs="Calibri"/>
          <w:color w:val="000000"/>
          <w:lang w:val="da-DK" w:eastAsia="en-GB"/>
        </w:rPr>
        <w:t>Kort sagt kan det udtrykkes, som et risikofrit aktiv plus en præmie for at påtage risiko.  </w:t>
      </w:r>
    </w:p>
    <w:p w14:paraId="7044EC88" w14:textId="77777777" w:rsidR="009178CD" w:rsidRPr="009178CD" w:rsidRDefault="009178CD" w:rsidP="009178CD">
      <w:pPr>
        <w:rPr>
          <w:rFonts w:ascii="Calibri" w:eastAsia="Times New Roman" w:hAnsi="Calibri" w:cs="Calibri"/>
          <w:color w:val="000000"/>
          <w:lang w:val="da-DK" w:eastAsia="en-GB"/>
        </w:rPr>
      </w:pPr>
    </w:p>
    <w:p w14:paraId="1F332375" w14:textId="77777777" w:rsidR="009178CD" w:rsidRPr="009178CD" w:rsidRDefault="009178CD" w:rsidP="009178CD">
      <w:pPr>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2.2</w:t>
      </w:r>
    </w:p>
    <w:p w14:paraId="07E3F156" w14:textId="77777777" w:rsidR="009178CD" w:rsidRPr="009178CD" w:rsidRDefault="009178CD" w:rsidP="009178CD">
      <w:pPr>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Beta er det relevante risikomål for tilføjelse af værdipapir i. Det afhænger af samvariationen med M som er markedsporteføljen. Værdipapirer med beta&lt;1 giver mindre risikopræmie end markedsporteføljen som giver lavere krav til forventet afkast end markedsporteføljens forventede afkast. Det omvendt for beta&gt;1. </w:t>
      </w:r>
    </w:p>
    <w:p w14:paraId="4EAE1BB3" w14:textId="77777777" w:rsidR="009178CD" w:rsidRPr="009178CD" w:rsidRDefault="009178CD" w:rsidP="009178CD">
      <w:pPr>
        <w:rPr>
          <w:rFonts w:ascii="Calibri" w:eastAsia="Times New Roman" w:hAnsi="Calibri" w:cs="Calibri"/>
          <w:color w:val="000000"/>
          <w:lang w:val="da-DK" w:eastAsia="en-GB"/>
        </w:rPr>
      </w:pPr>
    </w:p>
    <w:p w14:paraId="0869895B" w14:textId="77777777" w:rsidR="009178CD" w:rsidRPr="009178CD" w:rsidRDefault="009178CD" w:rsidP="009178CD">
      <w:pPr>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2.3</w:t>
      </w:r>
    </w:p>
    <w:p w14:paraId="53C72E0A" w14:textId="71E6A9E4" w:rsidR="009178CD" w:rsidRDefault="009178CD" w:rsidP="009178CD">
      <w:pPr>
        <w:rPr>
          <w:rFonts w:ascii="Calibri" w:eastAsia="Times New Roman" w:hAnsi="Calibri" w:cs="Calibri"/>
          <w:color w:val="000000"/>
          <w:lang w:val="da-DK" w:eastAsia="en-GB"/>
        </w:rPr>
      </w:pPr>
      <w:r w:rsidRPr="009178CD">
        <w:rPr>
          <w:rFonts w:ascii="Calibri" w:eastAsia="Times New Roman" w:hAnsi="Calibri" w:cs="Calibri"/>
          <w:color w:val="000000"/>
          <w:lang w:val="da-DK" w:eastAsia="en-GB"/>
        </w:rPr>
        <w:t>Det forventede afkast afspejler risikoen i værdipapiret. Ved højere forventet afkast følger en højere risiko. Hvis dette ikke er tilfældet vil en investor kunne få et større forventet afkast ift. risikoen og så vil værdipapiret være undervurderet. Dette vil få flere investorerne til at købe værdipapirer som vil få prisen på værdipapiret til at stige pga. øget efterspørgslen. Stigningen i prisen vil sænke det forventede afkast indtil ligevægt mellem risiko og forventet afkast findes. Investorernes krav til det forventede afkast afspejler den risiko der følger med værdipapiret.</w:t>
      </w:r>
    </w:p>
    <w:p w14:paraId="39108D55" w14:textId="4B0AD94F" w:rsidR="009178CD" w:rsidRDefault="009178CD" w:rsidP="009178CD">
      <w:pPr>
        <w:rPr>
          <w:rFonts w:ascii="Calibri" w:eastAsia="Times New Roman" w:hAnsi="Calibri" w:cs="Calibri"/>
          <w:color w:val="000000"/>
          <w:lang w:val="da-DK" w:eastAsia="en-GB"/>
        </w:rPr>
      </w:pPr>
    </w:p>
    <w:p w14:paraId="3A7B2439" w14:textId="4FE7E994" w:rsidR="009178CD" w:rsidRDefault="00846E4C" w:rsidP="009178CD">
      <w:pPr>
        <w:rPr>
          <w:rFonts w:ascii="Calibri" w:eastAsia="Times New Roman" w:hAnsi="Calibri" w:cs="Calibri"/>
          <w:b/>
          <w:bCs/>
          <w:color w:val="000000"/>
          <w:lang w:val="da-DK" w:eastAsia="en-GB"/>
        </w:rPr>
      </w:pPr>
      <w:r>
        <w:rPr>
          <w:rFonts w:ascii="Calibri" w:eastAsia="Times New Roman" w:hAnsi="Calibri" w:cs="Calibri"/>
          <w:b/>
          <w:bCs/>
          <w:color w:val="000000"/>
          <w:lang w:val="da-DK" w:eastAsia="en-GB"/>
        </w:rPr>
        <w:t xml:space="preserve">3.1 </w:t>
      </w:r>
    </w:p>
    <w:p w14:paraId="39D0B70D" w14:textId="5E9A25CC" w:rsidR="00846E4C" w:rsidRDefault="00846E4C" w:rsidP="009178CD">
      <w:pPr>
        <w:rPr>
          <w:rFonts w:ascii="Calibri" w:eastAsia="Times New Roman" w:hAnsi="Calibri" w:cs="Calibri"/>
          <w:color w:val="000000"/>
          <w:lang w:val="da-DK" w:eastAsia="en-GB"/>
        </w:rPr>
      </w:pPr>
      <w:r>
        <w:rPr>
          <w:rFonts w:ascii="Calibri" w:eastAsia="Times New Roman" w:hAnsi="Calibri" w:cs="Calibri"/>
          <w:color w:val="000000"/>
          <w:lang w:val="da-DK" w:eastAsia="en-GB"/>
        </w:rPr>
        <w:t xml:space="preserve">Omkostningsfunktionen er givet ved </w:t>
      </w:r>
    </w:p>
    <w:p w14:paraId="5AA8EA5C" w14:textId="02BFCA49" w:rsidR="00846E4C" w:rsidRPr="00846E4C" w:rsidRDefault="00846E4C" w:rsidP="009178CD">
      <w:pPr>
        <w:rPr>
          <w:rFonts w:ascii="Calibri" w:eastAsia="Times New Roman" w:hAnsi="Calibri" w:cs="Calibri"/>
          <w:color w:val="000000"/>
          <w:lang w:val="da-DK" w:eastAsia="en-GB"/>
        </w:rPr>
      </w:pPr>
      <m:oMathPara>
        <m:oMath>
          <m:r>
            <w:rPr>
              <w:rFonts w:ascii="Cambria Math" w:eastAsia="Times New Roman" w:hAnsi="Cambria Math" w:cs="Calibri"/>
              <w:color w:val="000000"/>
              <w:lang w:val="da-DK" w:eastAsia="en-GB"/>
            </w:rPr>
            <m:t>TC</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Q</m:t>
              </m:r>
            </m:e>
          </m:d>
          <m:r>
            <w:rPr>
              <w:rFonts w:ascii="Cambria Math" w:eastAsia="Times New Roman" w:hAnsi="Cambria Math" w:cs="Calibri"/>
              <w:color w:val="000000"/>
              <w:lang w:val="da-DK" w:eastAsia="en-GB"/>
            </w:rPr>
            <m:t>=A+</m:t>
          </m:r>
          <m:f>
            <m:fPr>
              <m:ctrlPr>
                <w:rPr>
                  <w:rFonts w:ascii="Cambria Math" w:eastAsia="Times New Roman" w:hAnsi="Cambria Math" w:cs="Calibri"/>
                  <w:i/>
                  <w:color w:val="000000"/>
                  <w:lang w:val="da-DK" w:eastAsia="en-GB"/>
                </w:rPr>
              </m:ctrlPr>
            </m:fPr>
            <m:num>
              <m:r>
                <w:rPr>
                  <w:rFonts w:ascii="Cambria Math" w:eastAsia="Times New Roman" w:hAnsi="Cambria Math" w:cs="Calibri"/>
                  <w:color w:val="000000"/>
                  <w:lang w:val="da-DK" w:eastAsia="en-GB"/>
                </w:rPr>
                <m:t>1</m:t>
              </m:r>
            </m:num>
            <m:den>
              <m:r>
                <w:rPr>
                  <w:rFonts w:ascii="Cambria Math" w:eastAsia="Times New Roman" w:hAnsi="Cambria Math" w:cs="Calibri"/>
                  <w:color w:val="000000"/>
                  <w:lang w:val="da-DK" w:eastAsia="en-GB"/>
                </w:rPr>
                <m:t>2</m:t>
              </m:r>
            </m:den>
          </m:f>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Q</m:t>
              </m:r>
            </m:e>
            <m:sup>
              <m:r>
                <w:rPr>
                  <w:rFonts w:ascii="Cambria Math" w:eastAsia="Times New Roman" w:hAnsi="Cambria Math" w:cs="Calibri"/>
                  <w:color w:val="000000"/>
                  <w:lang w:val="da-DK" w:eastAsia="en-GB"/>
                </w:rPr>
                <m:t>2</m:t>
              </m:r>
            </m:sup>
          </m:sSup>
        </m:oMath>
      </m:oMathPara>
    </w:p>
    <w:p w14:paraId="182CDD47" w14:textId="4E3D5556" w:rsidR="00846E4C" w:rsidRDefault="00846E4C" w:rsidP="009178CD">
      <w:pPr>
        <w:rPr>
          <w:rFonts w:ascii="Calibri" w:eastAsia="Times New Roman" w:hAnsi="Calibri" w:cs="Calibri"/>
          <w:color w:val="000000"/>
          <w:lang w:val="da-DK" w:eastAsia="en-GB"/>
        </w:rPr>
      </w:pPr>
      <w:r>
        <w:rPr>
          <w:rFonts w:ascii="Calibri" w:eastAsia="Times New Roman" w:hAnsi="Calibri" w:cs="Calibri"/>
          <w:color w:val="000000"/>
          <w:lang w:val="da-DK" w:eastAsia="en-GB"/>
        </w:rPr>
        <w:t xml:space="preserve">Virksomheden gennemsnitlige omkostninger udledes ved at dividere med Q. Mens marginalomkostningen findes ved differentiere udtrykket. Altså </w:t>
      </w:r>
    </w:p>
    <w:p w14:paraId="21FFA354" w14:textId="1FBDA730" w:rsidR="00846E4C" w:rsidRPr="00846E4C" w:rsidRDefault="00846E4C" w:rsidP="009178CD">
      <w:pPr>
        <w:rPr>
          <w:rFonts w:ascii="Calibri" w:eastAsia="Times New Roman" w:hAnsi="Calibri" w:cs="Calibri"/>
          <w:color w:val="000000"/>
          <w:lang w:val="da-DK" w:eastAsia="en-GB"/>
        </w:rPr>
      </w:pPr>
      <m:oMathPara>
        <m:oMath>
          <m:r>
            <w:rPr>
              <w:rFonts w:ascii="Cambria Math" w:eastAsia="Times New Roman" w:hAnsi="Cambria Math" w:cs="Calibri"/>
              <w:color w:val="000000"/>
              <w:lang w:val="da-DK" w:eastAsia="en-GB"/>
            </w:rPr>
            <m:t>ATC</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Q</m:t>
              </m:r>
            </m:e>
          </m:d>
          <m:r>
            <w:rPr>
              <w:rFonts w:ascii="Cambria Math" w:eastAsia="Times New Roman" w:hAnsi="Cambria Math" w:cs="Calibri"/>
              <w:color w:val="000000"/>
              <w:lang w:val="da-DK" w:eastAsia="en-GB"/>
            </w:rPr>
            <m:t>=</m:t>
          </m:r>
          <m:f>
            <m:fPr>
              <m:ctrlPr>
                <w:rPr>
                  <w:rFonts w:ascii="Cambria Math" w:eastAsia="Times New Roman" w:hAnsi="Cambria Math" w:cs="Calibri"/>
                  <w:i/>
                  <w:color w:val="000000"/>
                  <w:lang w:val="da-DK" w:eastAsia="en-GB"/>
                </w:rPr>
              </m:ctrlPr>
            </m:fPr>
            <m:num>
              <m:r>
                <w:rPr>
                  <w:rFonts w:ascii="Cambria Math" w:eastAsia="Times New Roman" w:hAnsi="Cambria Math" w:cs="Calibri"/>
                  <w:color w:val="000000"/>
                  <w:lang w:val="da-DK" w:eastAsia="en-GB"/>
                </w:rPr>
                <m:t>A</m:t>
              </m:r>
            </m:num>
            <m:den>
              <m:r>
                <w:rPr>
                  <w:rFonts w:ascii="Cambria Math" w:eastAsia="Times New Roman" w:hAnsi="Cambria Math" w:cs="Calibri"/>
                  <w:color w:val="000000"/>
                  <w:lang w:val="da-DK" w:eastAsia="en-GB"/>
                </w:rPr>
                <m:t>Q</m:t>
              </m:r>
            </m:den>
          </m:f>
          <m:r>
            <w:rPr>
              <w:rFonts w:ascii="Cambria Math" w:eastAsia="Times New Roman" w:hAnsi="Cambria Math" w:cs="Calibri"/>
              <w:color w:val="000000"/>
              <w:lang w:val="da-DK" w:eastAsia="en-GB"/>
            </w:rPr>
            <m:t>+</m:t>
          </m:r>
          <m:f>
            <m:fPr>
              <m:ctrlPr>
                <w:rPr>
                  <w:rFonts w:ascii="Cambria Math" w:eastAsia="Times New Roman" w:hAnsi="Cambria Math" w:cs="Calibri"/>
                  <w:i/>
                  <w:color w:val="000000"/>
                  <w:lang w:val="da-DK" w:eastAsia="en-GB"/>
                </w:rPr>
              </m:ctrlPr>
            </m:fPr>
            <m:num>
              <m:r>
                <w:rPr>
                  <w:rFonts w:ascii="Cambria Math" w:eastAsia="Times New Roman" w:hAnsi="Cambria Math" w:cs="Calibri"/>
                  <w:color w:val="000000"/>
                  <w:lang w:val="da-DK" w:eastAsia="en-GB"/>
                </w:rPr>
                <m:t>1</m:t>
              </m:r>
            </m:num>
            <m:den>
              <m:r>
                <w:rPr>
                  <w:rFonts w:ascii="Cambria Math" w:eastAsia="Times New Roman" w:hAnsi="Cambria Math" w:cs="Calibri"/>
                  <w:color w:val="000000"/>
                  <w:lang w:val="da-DK" w:eastAsia="en-GB"/>
                </w:rPr>
                <m:t>2</m:t>
              </m:r>
            </m:den>
          </m:f>
          <m:r>
            <w:rPr>
              <w:rFonts w:ascii="Cambria Math" w:eastAsia="Times New Roman" w:hAnsi="Cambria Math" w:cs="Calibri"/>
              <w:color w:val="000000"/>
              <w:lang w:val="da-DK" w:eastAsia="en-GB"/>
            </w:rPr>
            <m:t>Q</m:t>
          </m:r>
        </m:oMath>
      </m:oMathPara>
    </w:p>
    <w:p w14:paraId="49C3A74A" w14:textId="49DBDBA0" w:rsidR="00846E4C" w:rsidRPr="000D2C61" w:rsidRDefault="00846E4C" w:rsidP="009178CD">
      <w:pPr>
        <w:rPr>
          <w:rFonts w:ascii="Calibri" w:eastAsia="Times New Roman" w:hAnsi="Calibri" w:cs="Calibri"/>
          <w:color w:val="000000"/>
          <w:lang w:val="da-DK" w:eastAsia="en-GB"/>
        </w:rPr>
      </w:pPr>
      <m:oMathPara>
        <m:oMath>
          <m:r>
            <w:rPr>
              <w:rFonts w:ascii="Cambria Math" w:eastAsia="Times New Roman" w:hAnsi="Cambria Math" w:cs="Calibri"/>
              <w:color w:val="000000"/>
              <w:lang w:val="da-DK" w:eastAsia="en-GB"/>
            </w:rPr>
            <m:t>MC</m:t>
          </m:r>
          <m:d>
            <m:dPr>
              <m:ctrlPr>
                <w:rPr>
                  <w:rFonts w:ascii="Cambria Math" w:eastAsia="Times New Roman" w:hAnsi="Cambria Math" w:cs="Calibri"/>
                  <w:i/>
                  <w:color w:val="000000"/>
                  <w:lang w:val="da-DK" w:eastAsia="en-GB"/>
                </w:rPr>
              </m:ctrlPr>
            </m:dPr>
            <m:e>
              <m:r>
                <w:rPr>
                  <w:rFonts w:ascii="Cambria Math" w:eastAsia="Times New Roman" w:hAnsi="Cambria Math" w:cs="Calibri"/>
                  <w:color w:val="000000"/>
                  <w:lang w:val="da-DK" w:eastAsia="en-GB"/>
                </w:rPr>
                <m:t>Q</m:t>
              </m:r>
            </m:e>
          </m:d>
          <m:r>
            <w:rPr>
              <w:rFonts w:ascii="Cambria Math" w:eastAsia="Times New Roman" w:hAnsi="Cambria Math" w:cs="Calibri"/>
              <w:color w:val="000000"/>
              <w:lang w:val="da-DK" w:eastAsia="en-GB"/>
            </w:rPr>
            <m:t>=Q</m:t>
          </m:r>
        </m:oMath>
      </m:oMathPara>
    </w:p>
    <w:p w14:paraId="54ECFA19" w14:textId="41D94178" w:rsidR="000D2C61" w:rsidRPr="000D2C61" w:rsidRDefault="000D2C61" w:rsidP="009178CD">
      <w:pPr>
        <w:rPr>
          <w:rFonts w:ascii="Calibri" w:eastAsia="Times New Roman" w:hAnsi="Calibri" w:cs="Calibri"/>
          <w:color w:val="000000"/>
          <w:lang w:val="da-DK" w:eastAsia="en-GB"/>
        </w:rPr>
      </w:pPr>
      <w:r w:rsidRPr="000D2C61">
        <w:rPr>
          <w:rFonts w:ascii="Calibri" w:eastAsia="Times New Roman" w:hAnsi="Calibri" w:cs="Calibri"/>
          <w:b/>
          <w:bCs/>
          <w:color w:val="000000"/>
          <w:lang w:val="da-DK" w:eastAsia="en-GB"/>
        </w:rPr>
        <w:lastRenderedPageBreak/>
        <w:t xml:space="preserve">3.2 </w:t>
      </w:r>
      <w:r w:rsidRPr="000D2C61">
        <w:rPr>
          <w:rFonts w:ascii="Calibri" w:eastAsia="Times New Roman" w:hAnsi="Calibri" w:cs="Calibri"/>
          <w:color w:val="000000"/>
          <w:lang w:val="da-DK" w:eastAsia="en-GB"/>
        </w:rPr>
        <w:t xml:space="preserve"> </w:t>
      </w:r>
    </w:p>
    <w:p w14:paraId="3B725943" w14:textId="3351E09A" w:rsidR="000D2C61" w:rsidRDefault="000D2C61" w:rsidP="000D2C61">
      <w:pPr>
        <w:rPr>
          <w:rFonts w:ascii="Calibri" w:eastAsia="Times New Roman" w:hAnsi="Calibri" w:cs="Calibri"/>
          <w:color w:val="000000"/>
          <w:lang w:val="da-DK" w:eastAsia="en-GB"/>
        </w:rPr>
      </w:pPr>
      <w:r w:rsidRPr="000D2C61">
        <w:rPr>
          <w:rFonts w:ascii="Calibri" w:eastAsia="Times New Roman" w:hAnsi="Calibri" w:cs="Calibri"/>
          <w:color w:val="000000"/>
          <w:lang w:val="da-DK" w:eastAsia="en-GB"/>
        </w:rPr>
        <w:t>Er A tilpas stor, vil der være skalafordele i starten, men når Q er stor nok, vil skalafordele forsvinde, da MC er lig Q. Den minimale efficiente skala er minimumspunktet for ATC kurven. Altså indtil skalafordele ophører. Des større størrelsen af A er, des højere bliver værdien for den minimale efficiente skala. </w:t>
      </w:r>
      <w:r>
        <w:rPr>
          <w:rFonts w:ascii="Calibri" w:eastAsia="Times New Roman" w:hAnsi="Calibri" w:cs="Calibri"/>
          <w:color w:val="000000"/>
          <w:lang w:val="da-DK" w:eastAsia="en-GB"/>
        </w:rPr>
        <w:t xml:space="preserve">Den minimalt efficiente skala findes ved førsteordensbetingelsen for ATC. Ud fra dette udledes den minimalt efficiente skala til </w:t>
      </w:r>
      <m:oMath>
        <m:r>
          <w:rPr>
            <w:rFonts w:ascii="Cambria Math" w:eastAsia="Times New Roman" w:hAnsi="Cambria Math" w:cs="Calibri"/>
            <w:color w:val="000000"/>
            <w:lang w:val="da-DK" w:eastAsia="en-GB"/>
          </w:rPr>
          <m:t>Q=</m:t>
        </m:r>
        <m:rad>
          <m:radPr>
            <m:degHide m:val="1"/>
            <m:ctrlPr>
              <w:rPr>
                <w:rFonts w:ascii="Cambria Math" w:eastAsia="Times New Roman" w:hAnsi="Cambria Math" w:cs="Calibri"/>
                <w:i/>
                <w:color w:val="000000"/>
                <w:lang w:val="da-DK" w:eastAsia="en-GB"/>
              </w:rPr>
            </m:ctrlPr>
          </m:radPr>
          <m:deg/>
          <m:e>
            <m:r>
              <w:rPr>
                <w:rFonts w:ascii="Cambria Math" w:eastAsia="Times New Roman" w:hAnsi="Cambria Math" w:cs="Calibri"/>
                <w:color w:val="000000"/>
                <w:lang w:val="da-DK" w:eastAsia="en-GB"/>
              </w:rPr>
              <m:t>2A</m:t>
            </m:r>
          </m:e>
        </m:rad>
      </m:oMath>
      <w:r>
        <w:rPr>
          <w:rFonts w:ascii="Calibri" w:eastAsia="Times New Roman" w:hAnsi="Calibri" w:cs="Calibri"/>
          <w:color w:val="000000"/>
          <w:lang w:val="da-DK" w:eastAsia="en-GB"/>
        </w:rPr>
        <w:t xml:space="preserve"> </w:t>
      </w:r>
    </w:p>
    <w:p w14:paraId="67224AA3" w14:textId="019AA549" w:rsidR="000D2C61" w:rsidRPr="000D2C61" w:rsidRDefault="000D2C61" w:rsidP="000D2C61">
      <w:pPr>
        <w:rPr>
          <w:rFonts w:ascii="Calibri" w:eastAsia="Times New Roman" w:hAnsi="Calibri" w:cs="Calibri"/>
          <w:color w:val="000000"/>
          <w:lang w:val="da-DK" w:eastAsia="en-GB"/>
        </w:rPr>
      </w:pPr>
      <w:r>
        <w:rPr>
          <w:rFonts w:ascii="Calibri" w:eastAsia="Times New Roman" w:hAnsi="Calibri" w:cs="Calibri"/>
          <w:noProof/>
          <w:color w:val="000000"/>
          <w:lang w:val="da-DK" w:eastAsia="en-GB"/>
        </w:rPr>
        <w:drawing>
          <wp:inline distT="0" distB="0" distL="0" distR="0" wp14:anchorId="24C3A003" wp14:editId="4E0E22F8">
            <wp:extent cx="3681035" cy="2760980"/>
            <wp:effectExtent l="2540" t="0" r="5080" b="508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694286" cy="2770919"/>
                    </a:xfrm>
                    <a:prstGeom prst="rect">
                      <a:avLst/>
                    </a:prstGeom>
                  </pic:spPr>
                </pic:pic>
              </a:graphicData>
            </a:graphic>
          </wp:inline>
        </w:drawing>
      </w:r>
    </w:p>
    <w:p w14:paraId="3AE8D4E7" w14:textId="0032FF06" w:rsidR="000D2C61" w:rsidRDefault="000D2C61" w:rsidP="000D2C61">
      <w:pPr>
        <w:rPr>
          <w:rFonts w:ascii="Calibri" w:eastAsia="Times New Roman" w:hAnsi="Calibri" w:cs="Calibri"/>
          <w:color w:val="000000"/>
          <w:lang w:val="da-DK" w:eastAsia="en-GB"/>
        </w:rPr>
      </w:pPr>
    </w:p>
    <w:p w14:paraId="3F6E3251" w14:textId="0014B42A" w:rsidR="000D2C61" w:rsidRPr="000D2C61" w:rsidRDefault="000D2C61" w:rsidP="000D2C61">
      <w:pPr>
        <w:rPr>
          <w:rFonts w:ascii="Calibri" w:eastAsia="Times New Roman" w:hAnsi="Calibri" w:cs="Calibri"/>
          <w:color w:val="000000"/>
          <w:lang w:val="da-DK" w:eastAsia="en-GB"/>
        </w:rPr>
      </w:pPr>
      <w:r>
        <w:rPr>
          <w:rFonts w:ascii="Calibri" w:eastAsia="Times New Roman" w:hAnsi="Calibri" w:cs="Calibri"/>
          <w:b/>
          <w:bCs/>
          <w:color w:val="000000"/>
          <w:lang w:val="da-DK" w:eastAsia="en-GB"/>
        </w:rPr>
        <w:t>3.3</w:t>
      </w:r>
    </w:p>
    <w:p w14:paraId="55F05FF2" w14:textId="17917943" w:rsidR="000D2C61" w:rsidRPr="000D2C61" w:rsidRDefault="000D2C61" w:rsidP="000D2C61">
      <w:pPr>
        <w:rPr>
          <w:rFonts w:ascii="Calibri" w:eastAsia="Times New Roman" w:hAnsi="Calibri" w:cs="Calibri"/>
          <w:color w:val="000000"/>
          <w:lang w:val="da-DK" w:eastAsia="en-GB"/>
        </w:rPr>
      </w:pPr>
      <w:r w:rsidRPr="000D2C61">
        <w:rPr>
          <w:rFonts w:ascii="Calibri" w:eastAsia="Times New Roman" w:hAnsi="Calibri" w:cs="Calibri"/>
          <w:color w:val="000000"/>
          <w:lang w:val="da-DK" w:eastAsia="en-GB"/>
        </w:rPr>
        <w:t>Ud fra figur 3.1 kan vi udlede, at A angiver, hvor ATC-kurven starter, eftersom A er en konstant i form af de faste omkostninger. Når A bliver større vil ATC-kurven forskydes op med delta-A og herved opnås et højere minimal efficient</w:t>
      </w:r>
      <w:r>
        <w:rPr>
          <w:rFonts w:ascii="Calibri" w:eastAsia="Times New Roman" w:hAnsi="Calibri" w:cs="Calibri"/>
          <w:color w:val="000000"/>
          <w:lang w:val="da-DK" w:eastAsia="en-GB"/>
        </w:rPr>
        <w:t>e</w:t>
      </w:r>
      <w:r w:rsidRPr="000D2C61">
        <w:rPr>
          <w:rFonts w:ascii="Calibri" w:eastAsia="Times New Roman" w:hAnsi="Calibri" w:cs="Calibri"/>
          <w:color w:val="000000"/>
          <w:lang w:val="da-DK" w:eastAsia="en-GB"/>
        </w:rPr>
        <w:t xml:space="preserve"> skala, som udtrykkes ved en optimal mængde enheder produceret, Q*. Q* vil altså være større, hvis A er større.</w:t>
      </w:r>
    </w:p>
    <w:p w14:paraId="5747FFF3" w14:textId="77777777" w:rsidR="000D2C61" w:rsidRDefault="000D2C61" w:rsidP="000D2C61">
      <w:pPr>
        <w:rPr>
          <w:rFonts w:ascii="Times New Roman" w:eastAsia="Times New Roman" w:hAnsi="Times New Roman" w:cs="Times New Roman"/>
          <w:lang w:val="da-DK" w:eastAsia="en-GB"/>
        </w:rPr>
      </w:pPr>
    </w:p>
    <w:p w14:paraId="139C205F" w14:textId="113C7458" w:rsidR="000D2C61" w:rsidRPr="000D2C61" w:rsidRDefault="000D2C61" w:rsidP="000D2C61">
      <w:pPr>
        <w:rPr>
          <w:rFonts w:ascii="Calibri" w:eastAsia="Times New Roman" w:hAnsi="Calibri" w:cs="Calibri"/>
          <w:color w:val="000000"/>
          <w:lang w:val="da-DK" w:eastAsia="en-GB"/>
        </w:rPr>
      </w:pPr>
      <w:r w:rsidRPr="000D2C61">
        <w:rPr>
          <w:rFonts w:ascii="Calibri" w:eastAsia="Times New Roman" w:hAnsi="Calibri" w:cs="Calibri"/>
          <w:color w:val="000000"/>
          <w:lang w:val="da-DK" w:eastAsia="en-GB"/>
        </w:rPr>
        <w:t xml:space="preserve">De faste omkostninger er </w:t>
      </w:r>
      <w:proofErr w:type="spellStart"/>
      <w:r w:rsidRPr="000D2C61">
        <w:rPr>
          <w:rFonts w:ascii="Calibri" w:eastAsia="Times New Roman" w:hAnsi="Calibri" w:cs="Calibri"/>
          <w:color w:val="000000"/>
          <w:lang w:val="da-DK" w:eastAsia="en-GB"/>
        </w:rPr>
        <w:t>sunk</w:t>
      </w:r>
      <w:proofErr w:type="spellEnd"/>
      <w:r w:rsidRPr="000D2C61">
        <w:rPr>
          <w:rFonts w:ascii="Calibri" w:eastAsia="Times New Roman" w:hAnsi="Calibri" w:cs="Calibri"/>
          <w:color w:val="000000"/>
          <w:lang w:val="da-DK" w:eastAsia="en-GB"/>
        </w:rPr>
        <w:t xml:space="preserve"> </w:t>
      </w:r>
      <w:proofErr w:type="spellStart"/>
      <w:r w:rsidRPr="000D2C61">
        <w:rPr>
          <w:rFonts w:ascii="Calibri" w:eastAsia="Times New Roman" w:hAnsi="Calibri" w:cs="Calibri"/>
          <w:color w:val="000000"/>
          <w:lang w:val="da-DK" w:eastAsia="en-GB"/>
        </w:rPr>
        <w:t>cost</w:t>
      </w:r>
      <w:proofErr w:type="spellEnd"/>
      <w:r w:rsidRPr="000D2C61">
        <w:rPr>
          <w:rFonts w:ascii="Calibri" w:eastAsia="Times New Roman" w:hAnsi="Calibri" w:cs="Calibri"/>
          <w:color w:val="000000"/>
          <w:lang w:val="da-DK" w:eastAsia="en-GB"/>
        </w:rPr>
        <w:t xml:space="preserve"> på kort sigt, mens alle omkostninger er variable på lang sigt. Variable omkostninger stiger når produceret mængde stiger. De faste omkostninger afhænger ikke af produceret mængde. Derfor ses det i ovenstående funktion, at de gennemsnitlige omkostninger er faldende i starten.</w:t>
      </w:r>
    </w:p>
    <w:p w14:paraId="679294A2" w14:textId="77777777" w:rsidR="000D2C61" w:rsidRPr="000D2C61" w:rsidRDefault="000D2C61" w:rsidP="000D2C61">
      <w:pPr>
        <w:rPr>
          <w:rFonts w:ascii="Calibri" w:eastAsia="Times New Roman" w:hAnsi="Calibri" w:cs="Calibri"/>
          <w:color w:val="000000"/>
          <w:lang w:val="da-DK" w:eastAsia="en-GB"/>
        </w:rPr>
      </w:pPr>
      <w:r w:rsidRPr="000D2C61">
        <w:rPr>
          <w:rFonts w:ascii="Calibri" w:eastAsia="Times New Roman" w:hAnsi="Calibri" w:cs="Calibri"/>
          <w:color w:val="000000"/>
          <w:lang w:val="da-DK" w:eastAsia="en-GB"/>
        </w:rPr>
        <w:t xml:space="preserve">De variable omkostninger vil stige, når den producerede mængde Q øges. Dette begrundes med loven og aftagende grænseprodukt, hvor den marginale enhed bliver </w:t>
      </w:r>
      <w:proofErr w:type="spellStart"/>
      <w:r w:rsidRPr="000D2C61">
        <w:rPr>
          <w:rFonts w:ascii="Calibri" w:eastAsia="Times New Roman" w:hAnsi="Calibri" w:cs="Calibri"/>
          <w:color w:val="000000"/>
          <w:lang w:val="da-DK" w:eastAsia="en-GB"/>
        </w:rPr>
        <w:t>dyrer</w:t>
      </w:r>
      <w:proofErr w:type="spellEnd"/>
      <w:r w:rsidRPr="000D2C61">
        <w:rPr>
          <w:rFonts w:ascii="Calibri" w:eastAsia="Times New Roman" w:hAnsi="Calibri" w:cs="Calibri"/>
          <w:color w:val="000000"/>
          <w:lang w:val="da-DK" w:eastAsia="en-GB"/>
        </w:rPr>
        <w:t xml:space="preserve">, når Q øges, således at de gennemsnitlige variable omkostninger stiger. Dette kan ses ud fra ovenstående MC(Q)=Q, hvilket betyder, at der findes aftagende grænseprodukt fra start af på allerede første enhed i vores eksempel. Det bliver hermed relativt dyre at producere én enhed, når produktionen øges. Produktionen skal fortsætte på kort tid, hvis dækningsbidraget indhentes, men hentes disse ikke ind på lang sigt, er virksomheden ikke profitabel. Produceres der over </w:t>
      </w:r>
      <w:proofErr w:type="spellStart"/>
      <w:r w:rsidRPr="000D2C61">
        <w:rPr>
          <w:rFonts w:ascii="Calibri" w:eastAsia="Times New Roman" w:hAnsi="Calibri" w:cs="Calibri"/>
          <w:color w:val="000000"/>
          <w:lang w:val="da-DK" w:eastAsia="en-GB"/>
        </w:rPr>
        <w:t>over</w:t>
      </w:r>
      <w:proofErr w:type="spellEnd"/>
      <w:r w:rsidRPr="000D2C61">
        <w:rPr>
          <w:rFonts w:ascii="Calibri" w:eastAsia="Times New Roman" w:hAnsi="Calibri" w:cs="Calibri"/>
          <w:color w:val="000000"/>
          <w:lang w:val="da-DK" w:eastAsia="en-GB"/>
        </w:rPr>
        <w:t xml:space="preserve"> </w:t>
      </w:r>
      <w:proofErr w:type="spellStart"/>
      <w:r w:rsidRPr="000D2C61">
        <w:rPr>
          <w:rFonts w:ascii="Calibri" w:eastAsia="Times New Roman" w:hAnsi="Calibri" w:cs="Calibri"/>
          <w:color w:val="000000"/>
          <w:lang w:val="da-DK" w:eastAsia="en-GB"/>
        </w:rPr>
        <w:t>ATC’s</w:t>
      </w:r>
      <w:proofErr w:type="spellEnd"/>
      <w:r w:rsidRPr="000D2C61">
        <w:rPr>
          <w:rFonts w:ascii="Calibri" w:eastAsia="Times New Roman" w:hAnsi="Calibri" w:cs="Calibri"/>
          <w:color w:val="000000"/>
          <w:lang w:val="da-DK" w:eastAsia="en-GB"/>
        </w:rPr>
        <w:t xml:space="preserve"> minimum opstår der </w:t>
      </w:r>
      <w:proofErr w:type="spellStart"/>
      <w:r w:rsidRPr="000D2C61">
        <w:rPr>
          <w:rFonts w:ascii="Calibri" w:eastAsia="Times New Roman" w:hAnsi="Calibri" w:cs="Calibri"/>
          <w:color w:val="000000"/>
          <w:lang w:val="da-DK" w:eastAsia="en-GB"/>
        </w:rPr>
        <w:t>abnormal</w:t>
      </w:r>
      <w:proofErr w:type="spellEnd"/>
      <w:r w:rsidRPr="000D2C61">
        <w:rPr>
          <w:rFonts w:ascii="Calibri" w:eastAsia="Times New Roman" w:hAnsi="Calibri" w:cs="Calibri"/>
          <w:color w:val="000000"/>
          <w:lang w:val="da-DK" w:eastAsia="en-GB"/>
        </w:rPr>
        <w:t xml:space="preserve"> profit, og dette vil tillade </w:t>
      </w:r>
      <w:proofErr w:type="spellStart"/>
      <w:r w:rsidRPr="000D2C61">
        <w:rPr>
          <w:rFonts w:ascii="Calibri" w:eastAsia="Times New Roman" w:hAnsi="Calibri" w:cs="Calibri"/>
          <w:color w:val="000000"/>
          <w:lang w:val="da-DK" w:eastAsia="en-GB"/>
        </w:rPr>
        <w:t>entry</w:t>
      </w:r>
      <w:proofErr w:type="spellEnd"/>
      <w:r w:rsidRPr="000D2C61">
        <w:rPr>
          <w:rFonts w:ascii="Calibri" w:eastAsia="Times New Roman" w:hAnsi="Calibri" w:cs="Calibri"/>
          <w:color w:val="000000"/>
          <w:lang w:val="da-DK" w:eastAsia="en-GB"/>
        </w:rPr>
        <w:t xml:space="preserve"> på markedet, hvilket vil få markedet tilbage til tidligere ligevægt. </w:t>
      </w:r>
    </w:p>
    <w:p w14:paraId="7D5CE68F" w14:textId="77777777" w:rsidR="000D2C61" w:rsidRPr="000D2C61" w:rsidRDefault="000D2C61" w:rsidP="000D2C61">
      <w:pPr>
        <w:rPr>
          <w:rFonts w:ascii="Calibri" w:eastAsia="Times New Roman" w:hAnsi="Calibri" w:cs="Calibri"/>
          <w:color w:val="000000"/>
          <w:lang w:val="da-DK" w:eastAsia="en-GB"/>
        </w:rPr>
      </w:pPr>
    </w:p>
    <w:p w14:paraId="700608BD" w14:textId="77777777" w:rsidR="000D2C61" w:rsidRPr="000D2C61" w:rsidRDefault="000D2C61" w:rsidP="000D2C61">
      <w:pPr>
        <w:rPr>
          <w:rFonts w:ascii="Calibri" w:eastAsia="Times New Roman" w:hAnsi="Calibri" w:cs="Calibri"/>
          <w:b/>
          <w:bCs/>
          <w:color w:val="000000"/>
          <w:lang w:val="da-DK" w:eastAsia="en-GB"/>
        </w:rPr>
      </w:pPr>
      <w:r w:rsidRPr="000D2C61">
        <w:rPr>
          <w:rFonts w:ascii="Calibri" w:eastAsia="Times New Roman" w:hAnsi="Calibri" w:cs="Calibri"/>
          <w:b/>
          <w:bCs/>
          <w:color w:val="000000"/>
          <w:lang w:val="da-DK" w:eastAsia="en-GB"/>
        </w:rPr>
        <w:t>3.4</w:t>
      </w:r>
    </w:p>
    <w:p w14:paraId="328A2030" w14:textId="457B86AB" w:rsidR="000D2C61" w:rsidRDefault="000D2C61" w:rsidP="000D2C61">
      <w:pPr>
        <w:rPr>
          <w:rFonts w:ascii="Calibri" w:eastAsia="Times New Roman" w:hAnsi="Calibri" w:cs="Calibri"/>
          <w:color w:val="000000"/>
          <w:lang w:val="da-DK" w:eastAsia="en-GB"/>
        </w:rPr>
      </w:pPr>
      <w:r w:rsidRPr="000D2C61">
        <w:rPr>
          <w:rFonts w:ascii="Calibri" w:eastAsia="Times New Roman" w:hAnsi="Calibri" w:cs="Calibri"/>
          <w:color w:val="000000"/>
          <w:lang w:val="da-DK" w:eastAsia="en-GB"/>
        </w:rPr>
        <w:t>Grafen er lineært aftagende. Loven om efterspørgsel siger, der ikke vil blive efterspurgt noget, når prisen er for høj. Når der produceres flere enheder, vil prisen falde. Derfor vil der blive efterspurgt mere.</w:t>
      </w:r>
    </w:p>
    <w:p w14:paraId="2EEA306E" w14:textId="56CD48AB" w:rsidR="000D2C61" w:rsidRPr="000D2C61" w:rsidRDefault="000D2C61" w:rsidP="000D2C61">
      <w:pPr>
        <w:rPr>
          <w:rFonts w:ascii="Calibri" w:eastAsia="Times New Roman" w:hAnsi="Calibri" w:cs="Calibri"/>
          <w:color w:val="000000"/>
          <w:lang w:val="da-DK" w:eastAsia="en-GB"/>
        </w:rPr>
      </w:pPr>
      <w:r>
        <w:rPr>
          <w:rFonts w:ascii="Calibri" w:eastAsia="Times New Roman" w:hAnsi="Calibri" w:cs="Calibri"/>
          <w:noProof/>
          <w:color w:val="000000"/>
          <w:lang w:val="da-DK" w:eastAsia="en-GB"/>
        </w:rPr>
        <w:drawing>
          <wp:inline distT="0" distB="0" distL="0" distR="0" wp14:anchorId="1C699A52" wp14:editId="2F42DE2B">
            <wp:extent cx="2755000" cy="2066402"/>
            <wp:effectExtent l="1270" t="0" r="2540" b="2540"/>
            <wp:docPr id="4" name="Picture 4"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oji&#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775000" cy="2081403"/>
                    </a:xfrm>
                    <a:prstGeom prst="rect">
                      <a:avLst/>
                    </a:prstGeom>
                  </pic:spPr>
                </pic:pic>
              </a:graphicData>
            </a:graphic>
          </wp:inline>
        </w:drawing>
      </w:r>
    </w:p>
    <w:p w14:paraId="7801B012" w14:textId="77777777" w:rsidR="000D2C61" w:rsidRPr="000D2C61" w:rsidRDefault="000D2C61" w:rsidP="000D2C61">
      <w:pPr>
        <w:rPr>
          <w:rFonts w:ascii="Calibri" w:eastAsia="Times New Roman" w:hAnsi="Calibri" w:cs="Calibri"/>
          <w:color w:val="000000"/>
          <w:lang w:val="da-DK" w:eastAsia="en-GB"/>
        </w:rPr>
      </w:pPr>
    </w:p>
    <w:p w14:paraId="6A7DAC51" w14:textId="77777777" w:rsidR="000D2C61" w:rsidRDefault="000D2C61" w:rsidP="000D2C61">
      <w:pPr>
        <w:rPr>
          <w:rFonts w:ascii="Calibri" w:eastAsia="Times New Roman" w:hAnsi="Calibri" w:cs="Calibri"/>
          <w:b/>
          <w:bCs/>
          <w:color w:val="000000"/>
          <w:lang w:val="da-DK" w:eastAsia="en-GB"/>
        </w:rPr>
      </w:pPr>
      <w:r w:rsidRPr="000D2C61">
        <w:rPr>
          <w:rFonts w:ascii="Calibri" w:eastAsia="Times New Roman" w:hAnsi="Calibri" w:cs="Calibri"/>
          <w:b/>
          <w:bCs/>
          <w:color w:val="000000"/>
          <w:lang w:val="da-DK" w:eastAsia="en-GB"/>
        </w:rPr>
        <w:t>3.5 </w:t>
      </w:r>
    </w:p>
    <w:p w14:paraId="2F8EB134" w14:textId="2416EC98" w:rsidR="000D2C61" w:rsidRDefault="000D2C61" w:rsidP="000D2C61">
      <w:pPr>
        <w:rPr>
          <w:rFonts w:ascii="Calibri" w:eastAsia="Times New Roman" w:hAnsi="Calibri" w:cs="Calibri"/>
          <w:color w:val="000000"/>
          <w:lang w:val="da-DK" w:eastAsia="en-GB"/>
        </w:rPr>
      </w:pPr>
      <w:r>
        <w:rPr>
          <w:rFonts w:ascii="Calibri" w:eastAsia="Times New Roman" w:hAnsi="Calibri" w:cs="Calibri"/>
          <w:color w:val="000000"/>
          <w:lang w:val="da-DK" w:eastAsia="en-GB"/>
        </w:rPr>
        <w:t xml:space="preserve">Under fuldkommen konkurrence </w:t>
      </w:r>
      <w:r w:rsidRPr="000D2C61">
        <w:rPr>
          <w:rFonts w:ascii="Calibri" w:eastAsia="Times New Roman" w:hAnsi="Calibri" w:cs="Calibri"/>
          <w:color w:val="000000"/>
          <w:lang w:val="da-DK" w:eastAsia="en-GB"/>
        </w:rPr>
        <w:t>skal</w:t>
      </w:r>
      <w:r>
        <w:rPr>
          <w:rFonts w:ascii="Calibri" w:eastAsia="Times New Roman" w:hAnsi="Calibri" w:cs="Calibri"/>
          <w:color w:val="000000"/>
          <w:lang w:val="da-DK" w:eastAsia="en-GB"/>
        </w:rPr>
        <w:t xml:space="preserve"> </w:t>
      </w:r>
      <m:oMath>
        <m:r>
          <w:rPr>
            <w:rFonts w:ascii="Cambria Math" w:eastAsia="Times New Roman" w:hAnsi="Cambria Math" w:cs="Calibri"/>
            <w:color w:val="000000"/>
            <w:lang w:val="da-DK" w:eastAsia="en-GB"/>
          </w:rPr>
          <m:t>MC=P</m:t>
        </m:r>
      </m:oMath>
      <w:r>
        <w:rPr>
          <w:rFonts w:ascii="Calibri" w:eastAsia="Times New Roman" w:hAnsi="Calibri" w:cs="Calibri"/>
          <w:color w:val="000000"/>
          <w:lang w:val="da-DK" w:eastAsia="en-GB"/>
        </w:rPr>
        <w:t xml:space="preserve">, mens den optimale mængde findes ved </w:t>
      </w:r>
      <m:oMath>
        <m:r>
          <w:rPr>
            <w:rFonts w:ascii="Cambria Math" w:eastAsia="Times New Roman" w:hAnsi="Cambria Math" w:cs="Calibri"/>
            <w:color w:val="000000"/>
            <w:lang w:val="da-DK" w:eastAsia="en-GB"/>
          </w:rPr>
          <m:t>MR=MC</m:t>
        </m:r>
      </m:oMath>
      <w:r>
        <w:rPr>
          <w:rFonts w:ascii="Calibri" w:eastAsia="Times New Roman" w:hAnsi="Calibri" w:cs="Calibri"/>
          <w:color w:val="000000"/>
          <w:lang w:val="da-DK" w:eastAsia="en-GB"/>
        </w:rPr>
        <w:t xml:space="preserve">. Derfor må </w:t>
      </w:r>
      <m:oMath>
        <m:r>
          <w:rPr>
            <w:rFonts w:ascii="Cambria Math" w:eastAsia="Times New Roman" w:hAnsi="Cambria Math" w:cs="Calibri"/>
            <w:color w:val="000000"/>
            <w:lang w:val="da-DK" w:eastAsia="en-GB"/>
          </w:rPr>
          <m:t>MR=P.</m:t>
        </m:r>
      </m:oMath>
      <w:r>
        <w:rPr>
          <w:rFonts w:ascii="Calibri" w:eastAsia="Times New Roman" w:hAnsi="Calibri" w:cs="Calibri"/>
          <w:color w:val="000000"/>
          <w:lang w:val="da-DK" w:eastAsia="en-GB"/>
        </w:rPr>
        <w:t xml:space="preserve"> Dette gør den totale omsætningsfunktion til </w:t>
      </w:r>
      <m:oMath>
        <m:r>
          <w:rPr>
            <w:rFonts w:ascii="Cambria Math" w:eastAsia="Times New Roman" w:hAnsi="Cambria Math" w:cs="Calibri"/>
            <w:color w:val="000000"/>
            <w:lang w:val="da-DK" w:eastAsia="en-GB"/>
          </w:rPr>
          <m:t>1000Q-</m:t>
        </m:r>
        <m:sSup>
          <m:sSupPr>
            <m:ctrlPr>
              <w:rPr>
                <w:rFonts w:ascii="Cambria Math" w:eastAsia="Times New Roman" w:hAnsi="Cambria Math" w:cs="Calibri"/>
                <w:i/>
                <w:color w:val="000000"/>
                <w:lang w:val="da-DK" w:eastAsia="en-GB"/>
              </w:rPr>
            </m:ctrlPr>
          </m:sSupPr>
          <m:e>
            <m:r>
              <w:rPr>
                <w:rFonts w:ascii="Cambria Math" w:eastAsia="Times New Roman" w:hAnsi="Cambria Math" w:cs="Calibri"/>
                <w:color w:val="000000"/>
                <w:lang w:val="da-DK" w:eastAsia="en-GB"/>
              </w:rPr>
              <m:t>Q</m:t>
            </m:r>
          </m:e>
          <m:sup>
            <m:r>
              <w:rPr>
                <w:rFonts w:ascii="Cambria Math" w:eastAsia="Times New Roman" w:hAnsi="Cambria Math" w:cs="Calibri"/>
                <w:color w:val="000000"/>
                <w:lang w:val="da-DK" w:eastAsia="en-GB"/>
              </w:rPr>
              <m:t>2</m:t>
            </m:r>
          </m:sup>
        </m:sSup>
        <m:r>
          <w:rPr>
            <w:rFonts w:ascii="Cambria Math" w:eastAsia="Times New Roman" w:hAnsi="Cambria Math" w:cs="Calibri"/>
            <w:color w:val="000000"/>
            <w:lang w:val="da-DK" w:eastAsia="en-GB"/>
          </w:rPr>
          <w:br/>
        </m:r>
      </m:oMath>
      <m:oMathPara>
        <m:oMath>
          <m:r>
            <w:rPr>
              <w:rFonts w:ascii="Cambria Math" w:eastAsia="Times New Roman" w:hAnsi="Cambria Math" w:cs="Calibri"/>
              <w:color w:val="000000"/>
              <w:lang w:val="da-DK" w:eastAsia="en-GB"/>
            </w:rPr>
            <w:br/>
          </m:r>
        </m:oMath>
      </m:oMathPara>
    </w:p>
    <w:p w14:paraId="7DC439B8" w14:textId="77777777" w:rsidR="000D2C61" w:rsidRPr="000D2C61" w:rsidRDefault="000D2C61" w:rsidP="000D2C61">
      <w:pPr>
        <w:rPr>
          <w:rFonts w:ascii="Calibri" w:eastAsia="Times New Roman" w:hAnsi="Calibri" w:cs="Calibri"/>
          <w:color w:val="000000"/>
          <w:lang w:val="da-DK" w:eastAsia="en-GB"/>
        </w:rPr>
      </w:pPr>
    </w:p>
    <w:p w14:paraId="24C77B15" w14:textId="77777777" w:rsidR="000D2C61" w:rsidRPr="000D2C61" w:rsidRDefault="000D2C61" w:rsidP="000D2C61">
      <w:pPr>
        <w:spacing w:after="240"/>
        <w:rPr>
          <w:rFonts w:ascii="Times New Roman" w:eastAsia="Times New Roman" w:hAnsi="Times New Roman" w:cs="Times New Roman"/>
          <w:lang w:val="da-DK" w:eastAsia="en-GB"/>
        </w:rPr>
      </w:pPr>
    </w:p>
    <w:p w14:paraId="46B17E92" w14:textId="77777777" w:rsidR="000D2C61" w:rsidRPr="000D2C61" w:rsidRDefault="000D2C61" w:rsidP="009178CD">
      <w:pPr>
        <w:rPr>
          <w:rFonts w:ascii="Calibri" w:eastAsia="Times New Roman" w:hAnsi="Calibri" w:cs="Calibri"/>
          <w:color w:val="000000"/>
          <w:lang w:val="da-DK" w:eastAsia="en-GB"/>
        </w:rPr>
      </w:pPr>
    </w:p>
    <w:p w14:paraId="65E28985" w14:textId="77777777" w:rsidR="000D2C61" w:rsidRPr="00846E4C" w:rsidRDefault="000D2C61" w:rsidP="009178CD">
      <w:pPr>
        <w:rPr>
          <w:rFonts w:ascii="Calibri" w:eastAsia="Times New Roman" w:hAnsi="Calibri" w:cs="Calibri"/>
          <w:color w:val="000000"/>
          <w:lang w:val="da-DK" w:eastAsia="en-GB"/>
        </w:rPr>
      </w:pPr>
    </w:p>
    <w:p w14:paraId="24051740" w14:textId="77777777" w:rsidR="00846E4C" w:rsidRPr="009178CD" w:rsidRDefault="00846E4C" w:rsidP="009178CD">
      <w:pPr>
        <w:rPr>
          <w:rFonts w:ascii="Calibri" w:eastAsia="Times New Roman" w:hAnsi="Calibri" w:cs="Calibri"/>
          <w:color w:val="000000"/>
          <w:lang w:val="da-DK" w:eastAsia="en-GB"/>
        </w:rPr>
      </w:pPr>
    </w:p>
    <w:p w14:paraId="1B3E2880" w14:textId="77777777" w:rsidR="009178CD" w:rsidRPr="009178CD" w:rsidRDefault="009178CD" w:rsidP="009178CD">
      <w:pPr>
        <w:spacing w:after="240"/>
        <w:rPr>
          <w:rFonts w:ascii="Calibri" w:eastAsia="Times New Roman" w:hAnsi="Calibri" w:cs="Calibri"/>
          <w:lang w:val="da-DK" w:eastAsia="en-GB"/>
        </w:rPr>
      </w:pPr>
    </w:p>
    <w:p w14:paraId="2FFD4113" w14:textId="77777777" w:rsidR="009178CD" w:rsidRPr="009178CD" w:rsidRDefault="009178CD" w:rsidP="009178CD">
      <w:pPr>
        <w:rPr>
          <w:rFonts w:ascii="Calibri" w:eastAsia="Times New Roman" w:hAnsi="Calibri" w:cs="Calibri"/>
          <w:lang w:val="da-DK" w:eastAsia="en-GB"/>
        </w:rPr>
      </w:pPr>
    </w:p>
    <w:p w14:paraId="3B1543EB" w14:textId="77777777" w:rsidR="009178CD" w:rsidRPr="009178CD" w:rsidRDefault="009178CD" w:rsidP="009178CD">
      <w:pPr>
        <w:spacing w:after="240"/>
        <w:rPr>
          <w:rFonts w:ascii="Calibri" w:eastAsia="Times New Roman" w:hAnsi="Calibri" w:cs="Calibri"/>
          <w:lang w:val="da-DK" w:eastAsia="en-GB"/>
        </w:rPr>
      </w:pPr>
    </w:p>
    <w:p w14:paraId="1FE4B60F" w14:textId="77777777" w:rsidR="00AF2CFA" w:rsidRPr="009178CD" w:rsidRDefault="00AF2CFA" w:rsidP="009C7660">
      <w:pPr>
        <w:ind w:left="720" w:hanging="720"/>
        <w:rPr>
          <w:rFonts w:ascii="Calibri" w:eastAsia="Times New Roman" w:hAnsi="Calibri" w:cs="Calibri"/>
          <w:color w:val="000000"/>
          <w:lang w:val="da-DK" w:eastAsia="en-GB"/>
        </w:rPr>
      </w:pPr>
    </w:p>
    <w:p w14:paraId="0EB2D00F" w14:textId="77777777" w:rsidR="00F71660" w:rsidRPr="008455BC" w:rsidRDefault="00F71660">
      <w:pPr>
        <w:rPr>
          <w:rFonts w:ascii="Calibri" w:eastAsia="Times New Roman" w:hAnsi="Calibri" w:cs="Calibri"/>
          <w:b/>
          <w:bCs/>
          <w:color w:val="000000"/>
          <w:lang w:val="da-DK" w:eastAsia="en-GB"/>
        </w:rPr>
      </w:pPr>
    </w:p>
    <w:sectPr w:rsidR="00F71660" w:rsidRPr="00845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40373"/>
    <w:multiLevelType w:val="multilevel"/>
    <w:tmpl w:val="0984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B0CD7"/>
    <w:multiLevelType w:val="multilevel"/>
    <w:tmpl w:val="9460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05BD5"/>
    <w:multiLevelType w:val="hybridMultilevel"/>
    <w:tmpl w:val="8B3A95AC"/>
    <w:lvl w:ilvl="0" w:tplc="7CC8A6A4">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B2"/>
    <w:rsid w:val="00097974"/>
    <w:rsid w:val="000D2C61"/>
    <w:rsid w:val="000E1118"/>
    <w:rsid w:val="0016518A"/>
    <w:rsid w:val="001C3F21"/>
    <w:rsid w:val="00306DC0"/>
    <w:rsid w:val="00346204"/>
    <w:rsid w:val="006012F6"/>
    <w:rsid w:val="006D342F"/>
    <w:rsid w:val="008455BC"/>
    <w:rsid w:val="00846E4C"/>
    <w:rsid w:val="009178CD"/>
    <w:rsid w:val="00970CB2"/>
    <w:rsid w:val="009C7660"/>
    <w:rsid w:val="00AD4379"/>
    <w:rsid w:val="00AF2CFA"/>
    <w:rsid w:val="00B21262"/>
    <w:rsid w:val="00BD139D"/>
    <w:rsid w:val="00C919CA"/>
    <w:rsid w:val="00D609ED"/>
    <w:rsid w:val="00F31436"/>
    <w:rsid w:val="00F71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96AE4C"/>
  <w15:chartTrackingRefBased/>
  <w15:docId w15:val="{F1677BF1-00F7-C642-8607-3AC46ED7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CB2"/>
    <w:rPr>
      <w:color w:val="808080"/>
    </w:rPr>
  </w:style>
  <w:style w:type="paragraph" w:styleId="NormalWeb">
    <w:name w:val="Normal (Web)"/>
    <w:basedOn w:val="Normal"/>
    <w:uiPriority w:val="99"/>
    <w:semiHidden/>
    <w:unhideWhenUsed/>
    <w:rsid w:val="008455BC"/>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17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47683">
      <w:bodyDiv w:val="1"/>
      <w:marLeft w:val="0"/>
      <w:marRight w:val="0"/>
      <w:marTop w:val="0"/>
      <w:marBottom w:val="0"/>
      <w:divBdr>
        <w:top w:val="none" w:sz="0" w:space="0" w:color="auto"/>
        <w:left w:val="none" w:sz="0" w:space="0" w:color="auto"/>
        <w:bottom w:val="none" w:sz="0" w:space="0" w:color="auto"/>
        <w:right w:val="none" w:sz="0" w:space="0" w:color="auto"/>
      </w:divBdr>
    </w:div>
    <w:div w:id="1230648447">
      <w:bodyDiv w:val="1"/>
      <w:marLeft w:val="0"/>
      <w:marRight w:val="0"/>
      <w:marTop w:val="0"/>
      <w:marBottom w:val="0"/>
      <w:divBdr>
        <w:top w:val="none" w:sz="0" w:space="0" w:color="auto"/>
        <w:left w:val="none" w:sz="0" w:space="0" w:color="auto"/>
        <w:bottom w:val="none" w:sz="0" w:space="0" w:color="auto"/>
        <w:right w:val="none" w:sz="0" w:space="0" w:color="auto"/>
      </w:divBdr>
    </w:div>
    <w:div w:id="1360736394">
      <w:bodyDiv w:val="1"/>
      <w:marLeft w:val="0"/>
      <w:marRight w:val="0"/>
      <w:marTop w:val="0"/>
      <w:marBottom w:val="0"/>
      <w:divBdr>
        <w:top w:val="none" w:sz="0" w:space="0" w:color="auto"/>
        <w:left w:val="none" w:sz="0" w:space="0" w:color="auto"/>
        <w:bottom w:val="none" w:sz="0" w:space="0" w:color="auto"/>
        <w:right w:val="none" w:sz="0" w:space="0" w:color="auto"/>
      </w:divBdr>
    </w:div>
    <w:div w:id="1578441681">
      <w:bodyDiv w:val="1"/>
      <w:marLeft w:val="0"/>
      <w:marRight w:val="0"/>
      <w:marTop w:val="0"/>
      <w:marBottom w:val="0"/>
      <w:divBdr>
        <w:top w:val="none" w:sz="0" w:space="0" w:color="auto"/>
        <w:left w:val="none" w:sz="0" w:space="0" w:color="auto"/>
        <w:bottom w:val="none" w:sz="0" w:space="0" w:color="auto"/>
        <w:right w:val="none" w:sz="0" w:space="0" w:color="auto"/>
      </w:divBdr>
    </w:div>
    <w:div w:id="1776291094">
      <w:bodyDiv w:val="1"/>
      <w:marLeft w:val="0"/>
      <w:marRight w:val="0"/>
      <w:marTop w:val="0"/>
      <w:marBottom w:val="0"/>
      <w:divBdr>
        <w:top w:val="none" w:sz="0" w:space="0" w:color="auto"/>
        <w:left w:val="none" w:sz="0" w:space="0" w:color="auto"/>
        <w:bottom w:val="none" w:sz="0" w:space="0" w:color="auto"/>
        <w:right w:val="none" w:sz="0" w:space="0" w:color="auto"/>
      </w:divBdr>
    </w:div>
    <w:div w:id="1865945431">
      <w:bodyDiv w:val="1"/>
      <w:marLeft w:val="0"/>
      <w:marRight w:val="0"/>
      <w:marTop w:val="0"/>
      <w:marBottom w:val="0"/>
      <w:divBdr>
        <w:top w:val="none" w:sz="0" w:space="0" w:color="auto"/>
        <w:left w:val="none" w:sz="0" w:space="0" w:color="auto"/>
        <w:bottom w:val="none" w:sz="0" w:space="0" w:color="auto"/>
        <w:right w:val="none" w:sz="0" w:space="0" w:color="auto"/>
      </w:divBdr>
    </w:div>
    <w:div w:id="1959943013">
      <w:bodyDiv w:val="1"/>
      <w:marLeft w:val="0"/>
      <w:marRight w:val="0"/>
      <w:marTop w:val="0"/>
      <w:marBottom w:val="0"/>
      <w:divBdr>
        <w:top w:val="none" w:sz="0" w:space="0" w:color="auto"/>
        <w:left w:val="none" w:sz="0" w:space="0" w:color="auto"/>
        <w:bottom w:val="none" w:sz="0" w:space="0" w:color="auto"/>
        <w:right w:val="none" w:sz="0" w:space="0" w:color="auto"/>
      </w:divBdr>
    </w:div>
    <w:div w:id="202605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Japee/Documents/University/2.%20Sem%20/E&#216;/Opgaver/Hjemmeopgave%204%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pee/Documents/University/2.%20Sem%20/E&#216;/Opgaver/Hjemmeopgave%204%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STANDARD</a:t>
            </a:r>
            <a:r>
              <a:rPr lang="en-GB" baseline="0"/>
              <a:t>AFVIGELSE OG FORVENTET AFKAST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Sheet1!$J$4:$J$24</c:f>
              <c:numCache>
                <c:formatCode>0.000</c:formatCode>
                <c:ptCount val="21"/>
                <c:pt idx="0">
                  <c:v>0.2</c:v>
                </c:pt>
                <c:pt idx="1">
                  <c:v>0.19164094030243123</c:v>
                </c:pt>
                <c:pt idx="2">
                  <c:v>0.18358921536953091</c:v>
                </c:pt>
                <c:pt idx="3">
                  <c:v>0.17588703761221292</c:v>
                </c:pt>
                <c:pt idx="4">
                  <c:v>0.16858232410309215</c:v>
                </c:pt>
                <c:pt idx="5">
                  <c:v>0.1617289398963587</c:v>
                </c:pt>
                <c:pt idx="6">
                  <c:v>0.15538661461013945</c:v>
                </c:pt>
                <c:pt idx="7">
                  <c:v>0.14962035289358197</c:v>
                </c:pt>
                <c:pt idx="8">
                  <c:v>0.14449913494550756</c:v>
                </c:pt>
                <c:pt idx="9">
                  <c:v>0.14009371863149328</c:v>
                </c:pt>
                <c:pt idx="10">
                  <c:v>0.13647344063956179</c:v>
                </c:pt>
                <c:pt idx="11">
                  <c:v>0.13370209422443616</c:v>
                </c:pt>
                <c:pt idx="12">
                  <c:v>0.13183322798141595</c:v>
                </c:pt>
                <c:pt idx="13">
                  <c:v>0.13090550026641357</c:v>
                </c:pt>
                <c:pt idx="14">
                  <c:v>0.13093891705677119</c:v>
                </c:pt>
                <c:pt idx="15">
                  <c:v>0.13193274801958765</c:v>
                </c:pt>
                <c:pt idx="16">
                  <c:v>0.13386560424545213</c:v>
                </c:pt>
                <c:pt idx="17">
                  <c:v>0.13669765908749137</c:v>
                </c:pt>
                <c:pt idx="18">
                  <c:v>0.14037449910863448</c:v>
                </c:pt>
                <c:pt idx="19">
                  <c:v>0.14483179899455792</c:v>
                </c:pt>
                <c:pt idx="20">
                  <c:v>0.15</c:v>
                </c:pt>
              </c:numCache>
            </c:numRef>
          </c:xVal>
          <c:yVal>
            <c:numRef>
              <c:f>Sheet1!$H$4:$H$24</c:f>
              <c:numCache>
                <c:formatCode>0.000</c:formatCode>
                <c:ptCount val="21"/>
                <c:pt idx="0">
                  <c:v>7.0000000000000007E-2</c:v>
                </c:pt>
                <c:pt idx="1">
                  <c:v>6.9000000000000006E-2</c:v>
                </c:pt>
                <c:pt idx="2">
                  <c:v>6.8000000000000019E-2</c:v>
                </c:pt>
                <c:pt idx="3">
                  <c:v>6.7000000000000004E-2</c:v>
                </c:pt>
                <c:pt idx="4">
                  <c:v>6.6000000000000003E-2</c:v>
                </c:pt>
                <c:pt idx="5">
                  <c:v>6.5000000000000002E-2</c:v>
                </c:pt>
                <c:pt idx="6">
                  <c:v>6.4000000000000001E-2</c:v>
                </c:pt>
                <c:pt idx="7">
                  <c:v>6.3E-2</c:v>
                </c:pt>
                <c:pt idx="8">
                  <c:v>6.2000000000000006E-2</c:v>
                </c:pt>
                <c:pt idx="9">
                  <c:v>6.1000000000000006E-2</c:v>
                </c:pt>
                <c:pt idx="10">
                  <c:v>6.0000000000000005E-2</c:v>
                </c:pt>
                <c:pt idx="11">
                  <c:v>5.9000000000000011E-2</c:v>
                </c:pt>
                <c:pt idx="12">
                  <c:v>5.7999999999999982E-2</c:v>
                </c:pt>
                <c:pt idx="13">
                  <c:v>5.6999999999999981E-2</c:v>
                </c:pt>
                <c:pt idx="14">
                  <c:v>5.599999999999998E-2</c:v>
                </c:pt>
                <c:pt idx="15">
                  <c:v>5.4999999999999986E-2</c:v>
                </c:pt>
                <c:pt idx="16">
                  <c:v>5.3999999999999979E-2</c:v>
                </c:pt>
                <c:pt idx="17">
                  <c:v>5.2999999999999985E-2</c:v>
                </c:pt>
                <c:pt idx="18">
                  <c:v>5.1999999999999984E-2</c:v>
                </c:pt>
                <c:pt idx="19">
                  <c:v>5.0999999999999976E-2</c:v>
                </c:pt>
                <c:pt idx="20">
                  <c:v>0.05</c:v>
                </c:pt>
              </c:numCache>
            </c:numRef>
          </c:yVal>
          <c:smooth val="1"/>
          <c:extLst>
            <c:ext xmlns:c16="http://schemas.microsoft.com/office/drawing/2014/chart" uri="{C3380CC4-5D6E-409C-BE32-E72D297353CC}">
              <c16:uniqueId val="{00000000-9C4C-684E-9D2D-FC9EC27B882C}"/>
            </c:ext>
          </c:extLst>
        </c:ser>
        <c:dLbls>
          <c:showLegendKey val="0"/>
          <c:showVal val="0"/>
          <c:showCatName val="0"/>
          <c:showSerName val="0"/>
          <c:showPercent val="0"/>
          <c:showBubbleSize val="0"/>
        </c:dLbls>
        <c:axId val="908945232"/>
        <c:axId val="1332139152"/>
      </c:scatterChart>
      <c:valAx>
        <c:axId val="908945232"/>
        <c:scaling>
          <c:orientation val="minMax"/>
          <c:min val="0.120000000000000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Standardafvigelse(P)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139152"/>
        <c:crosses val="autoZero"/>
        <c:crossBetween val="midCat"/>
      </c:valAx>
      <c:valAx>
        <c:axId val="1332139152"/>
        <c:scaling>
          <c:orientation val="minMax"/>
          <c:min val="4.5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FORVENTET AFKAST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945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STANDARD</a:t>
            </a:r>
            <a:r>
              <a:rPr lang="en-GB" baseline="0"/>
              <a:t>AFVIGELSE OG FORVENTET AFKAST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Sheet1!$J$4:$J$24</c:f>
              <c:numCache>
                <c:formatCode>0.000</c:formatCode>
                <c:ptCount val="21"/>
                <c:pt idx="0">
                  <c:v>0.2</c:v>
                </c:pt>
                <c:pt idx="1">
                  <c:v>0.19164094030243123</c:v>
                </c:pt>
                <c:pt idx="2">
                  <c:v>0.18358921536953091</c:v>
                </c:pt>
                <c:pt idx="3">
                  <c:v>0.17588703761221292</c:v>
                </c:pt>
                <c:pt idx="4">
                  <c:v>0.16858232410309215</c:v>
                </c:pt>
                <c:pt idx="5">
                  <c:v>0.1617289398963587</c:v>
                </c:pt>
                <c:pt idx="6">
                  <c:v>0.15538661461013945</c:v>
                </c:pt>
                <c:pt idx="7">
                  <c:v>0.14962035289358197</c:v>
                </c:pt>
                <c:pt idx="8">
                  <c:v>0.14449913494550756</c:v>
                </c:pt>
                <c:pt idx="9">
                  <c:v>0.14009371863149328</c:v>
                </c:pt>
                <c:pt idx="10">
                  <c:v>0.13647344063956179</c:v>
                </c:pt>
                <c:pt idx="11">
                  <c:v>0.13370209422443616</c:v>
                </c:pt>
                <c:pt idx="12">
                  <c:v>0.13183322798141595</c:v>
                </c:pt>
                <c:pt idx="13">
                  <c:v>0.13090550026641357</c:v>
                </c:pt>
                <c:pt idx="14">
                  <c:v>0.13093891705677119</c:v>
                </c:pt>
                <c:pt idx="15">
                  <c:v>0.13193274801958765</c:v>
                </c:pt>
                <c:pt idx="16">
                  <c:v>0.13386560424545213</c:v>
                </c:pt>
                <c:pt idx="17">
                  <c:v>0.13669765908749137</c:v>
                </c:pt>
                <c:pt idx="18">
                  <c:v>0.14037449910863448</c:v>
                </c:pt>
                <c:pt idx="19">
                  <c:v>0.14483179899455792</c:v>
                </c:pt>
                <c:pt idx="20">
                  <c:v>0.15</c:v>
                </c:pt>
              </c:numCache>
            </c:numRef>
          </c:xVal>
          <c:yVal>
            <c:numRef>
              <c:f>Sheet1!$H$4:$H$24</c:f>
              <c:numCache>
                <c:formatCode>0.000</c:formatCode>
                <c:ptCount val="21"/>
                <c:pt idx="0">
                  <c:v>7.0000000000000007E-2</c:v>
                </c:pt>
                <c:pt idx="1">
                  <c:v>6.9000000000000006E-2</c:v>
                </c:pt>
                <c:pt idx="2">
                  <c:v>6.8000000000000019E-2</c:v>
                </c:pt>
                <c:pt idx="3">
                  <c:v>6.7000000000000004E-2</c:v>
                </c:pt>
                <c:pt idx="4">
                  <c:v>6.6000000000000003E-2</c:v>
                </c:pt>
                <c:pt idx="5">
                  <c:v>6.5000000000000002E-2</c:v>
                </c:pt>
                <c:pt idx="6">
                  <c:v>6.4000000000000001E-2</c:v>
                </c:pt>
                <c:pt idx="7">
                  <c:v>6.3E-2</c:v>
                </c:pt>
                <c:pt idx="8">
                  <c:v>6.2000000000000006E-2</c:v>
                </c:pt>
                <c:pt idx="9">
                  <c:v>6.1000000000000006E-2</c:v>
                </c:pt>
                <c:pt idx="10">
                  <c:v>6.0000000000000005E-2</c:v>
                </c:pt>
                <c:pt idx="11">
                  <c:v>5.9000000000000011E-2</c:v>
                </c:pt>
                <c:pt idx="12">
                  <c:v>5.7999999999999982E-2</c:v>
                </c:pt>
                <c:pt idx="13">
                  <c:v>5.6999999999999981E-2</c:v>
                </c:pt>
                <c:pt idx="14">
                  <c:v>5.599999999999998E-2</c:v>
                </c:pt>
                <c:pt idx="15">
                  <c:v>5.4999999999999986E-2</c:v>
                </c:pt>
                <c:pt idx="16">
                  <c:v>5.3999999999999979E-2</c:v>
                </c:pt>
                <c:pt idx="17">
                  <c:v>5.2999999999999985E-2</c:v>
                </c:pt>
                <c:pt idx="18">
                  <c:v>5.1999999999999984E-2</c:v>
                </c:pt>
                <c:pt idx="19">
                  <c:v>5.0999999999999976E-2</c:v>
                </c:pt>
                <c:pt idx="20">
                  <c:v>0.05</c:v>
                </c:pt>
              </c:numCache>
            </c:numRef>
          </c:yVal>
          <c:smooth val="1"/>
          <c:extLst>
            <c:ext xmlns:c16="http://schemas.microsoft.com/office/drawing/2014/chart" uri="{C3380CC4-5D6E-409C-BE32-E72D297353CC}">
              <c16:uniqueId val="{00000000-FDD6-A841-8846-A9CBFB9FB8DF}"/>
            </c:ext>
          </c:extLst>
        </c:ser>
        <c:ser>
          <c:idx val="1"/>
          <c:order val="1"/>
          <c:tx>
            <c:v>1.5</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9"/>
              <c:layout>
                <c:manualLayout>
                  <c:x val="-7.0678127984718245E-2"/>
                  <c:y val="-5.121638924455825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DD6-A841-8846-A9CBFB9FB8D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Sheet1!$J$31:$J$51</c:f>
              <c:numCache>
                <c:formatCode>0.000</c:formatCode>
                <c:ptCount val="21"/>
                <c:pt idx="0">
                  <c:v>0</c:v>
                </c:pt>
                <c:pt idx="1">
                  <c:v>8.0208790041989865E-3</c:v>
                </c:pt>
                <c:pt idx="2">
                  <c:v>1.6041758008397952E-2</c:v>
                </c:pt>
                <c:pt idx="3">
                  <c:v>2.4062637012596939E-2</c:v>
                </c:pt>
                <c:pt idx="4">
                  <c:v>3.2083516016795904E-2</c:v>
                </c:pt>
                <c:pt idx="5">
                  <c:v>4.0104395020994894E-2</c:v>
                </c:pt>
                <c:pt idx="6">
                  <c:v>4.8125274025193877E-2</c:v>
                </c:pt>
                <c:pt idx="7">
                  <c:v>5.6146153029392847E-2</c:v>
                </c:pt>
                <c:pt idx="8">
                  <c:v>6.4167032033591836E-2</c:v>
                </c:pt>
                <c:pt idx="9">
                  <c:v>7.2187911037790806E-2</c:v>
                </c:pt>
                <c:pt idx="10">
                  <c:v>8.0208790041989789E-2</c:v>
                </c:pt>
                <c:pt idx="11">
                  <c:v>8.8229669046188772E-2</c:v>
                </c:pt>
                <c:pt idx="12">
                  <c:v>9.6250548050387894E-2</c:v>
                </c:pt>
                <c:pt idx="13">
                  <c:v>0.10427142705458689</c:v>
                </c:pt>
                <c:pt idx="14">
                  <c:v>0.11229230605878587</c:v>
                </c:pt>
                <c:pt idx="15">
                  <c:v>0.12031318506298484</c:v>
                </c:pt>
                <c:pt idx="16">
                  <c:v>0.12833406406718381</c:v>
                </c:pt>
                <c:pt idx="17">
                  <c:v>0.13635494307138279</c:v>
                </c:pt>
                <c:pt idx="18">
                  <c:v>0.14437582207558178</c:v>
                </c:pt>
                <c:pt idx="19">
                  <c:v>0.15239670107978076</c:v>
                </c:pt>
                <c:pt idx="20">
                  <c:v>0.16041758008397958</c:v>
                </c:pt>
              </c:numCache>
            </c:numRef>
          </c:xVal>
          <c:yVal>
            <c:numRef>
              <c:f>Sheet1!$H$31:$H$51</c:f>
              <c:numCache>
                <c:formatCode>0.000</c:formatCode>
                <c:ptCount val="21"/>
                <c:pt idx="0">
                  <c:v>0.04</c:v>
                </c:pt>
                <c:pt idx="1">
                  <c:v>4.1239999999999999E-2</c:v>
                </c:pt>
                <c:pt idx="2">
                  <c:v>4.2480000000000004E-2</c:v>
                </c:pt>
                <c:pt idx="3">
                  <c:v>4.3720000000000009E-2</c:v>
                </c:pt>
                <c:pt idx="4">
                  <c:v>4.496E-2</c:v>
                </c:pt>
                <c:pt idx="5">
                  <c:v>4.6200000000000005E-2</c:v>
                </c:pt>
                <c:pt idx="6">
                  <c:v>4.7440000000000003E-2</c:v>
                </c:pt>
                <c:pt idx="7">
                  <c:v>4.8680000000000001E-2</c:v>
                </c:pt>
                <c:pt idx="8">
                  <c:v>4.9920000000000006E-2</c:v>
                </c:pt>
                <c:pt idx="9">
                  <c:v>5.1160000000000004E-2</c:v>
                </c:pt>
                <c:pt idx="10">
                  <c:v>5.2400000000000002E-2</c:v>
                </c:pt>
                <c:pt idx="11">
                  <c:v>5.3640000000000014E-2</c:v>
                </c:pt>
                <c:pt idx="12">
                  <c:v>5.4880000000000026E-2</c:v>
                </c:pt>
                <c:pt idx="13">
                  <c:v>5.6120000000000031E-2</c:v>
                </c:pt>
                <c:pt idx="14">
                  <c:v>5.7360000000000036E-2</c:v>
                </c:pt>
                <c:pt idx="15">
                  <c:v>5.8600000000000034E-2</c:v>
                </c:pt>
                <c:pt idx="16">
                  <c:v>5.9840000000000025E-2</c:v>
                </c:pt>
                <c:pt idx="17">
                  <c:v>6.1080000000000037E-2</c:v>
                </c:pt>
                <c:pt idx="18">
                  <c:v>6.2320000000000035E-2</c:v>
                </c:pt>
                <c:pt idx="19">
                  <c:v>6.3560000000000033E-2</c:v>
                </c:pt>
                <c:pt idx="20">
                  <c:v>6.480000000000001E-2</c:v>
                </c:pt>
              </c:numCache>
            </c:numRef>
          </c:yVal>
          <c:smooth val="1"/>
          <c:extLst>
            <c:ext xmlns:c16="http://schemas.microsoft.com/office/drawing/2014/chart" uri="{C3380CC4-5D6E-409C-BE32-E72D297353CC}">
              <c16:uniqueId val="{00000002-FDD6-A841-8846-A9CBFB9FB8DF}"/>
            </c:ext>
          </c:extLst>
        </c:ser>
        <c:dLbls>
          <c:showLegendKey val="0"/>
          <c:showVal val="0"/>
          <c:showCatName val="0"/>
          <c:showSerName val="0"/>
          <c:showPercent val="0"/>
          <c:showBubbleSize val="0"/>
        </c:dLbls>
        <c:axId val="908945232"/>
        <c:axId val="1332139152"/>
      </c:scatterChart>
      <c:valAx>
        <c:axId val="908945232"/>
        <c:scaling>
          <c:orientation val="minMax"/>
          <c:min val="0.120000000000000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Standardafvigelse(P)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139152"/>
        <c:crosses val="autoZero"/>
        <c:crossBetween val="midCat"/>
      </c:valAx>
      <c:valAx>
        <c:axId val="1332139152"/>
        <c:scaling>
          <c:orientation val="minMax"/>
          <c:min val="4.5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FORVENTET AFKAST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945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6</Pages>
  <Words>1362</Words>
  <Characters>7946</Characters>
  <Application>Microsoft Office Word</Application>
  <DocSecurity>0</DocSecurity>
  <Lines>132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6</cp:revision>
  <dcterms:created xsi:type="dcterms:W3CDTF">2021-05-03T10:07:00Z</dcterms:created>
  <dcterms:modified xsi:type="dcterms:W3CDTF">2021-05-18T18:15:00Z</dcterms:modified>
</cp:coreProperties>
</file>