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1D16" w14:textId="77777777" w:rsidR="00702AEF" w:rsidRPr="000E6445" w:rsidRDefault="00702AEF" w:rsidP="00702AEF">
      <w:pPr>
        <w:tabs>
          <w:tab w:val="left" w:pos="567"/>
        </w:tabs>
        <w:rPr>
          <w:rFonts w:asciiTheme="minorHAnsi" w:hAnsiTheme="minorHAnsi" w:cstheme="minorHAnsi"/>
          <w:b/>
        </w:rPr>
      </w:pPr>
      <w:r w:rsidRPr="000E6445">
        <w:rPr>
          <w:rFonts w:asciiTheme="minorHAnsi" w:hAnsiTheme="minorHAnsi" w:cstheme="minorHAnsi"/>
          <w:b/>
        </w:rPr>
        <w:t>Delopgave A</w:t>
      </w:r>
    </w:p>
    <w:p w14:paraId="1227B0C9" w14:textId="376FD1D9" w:rsidR="00702AEF" w:rsidRDefault="00702AEF" w:rsidP="00702AEF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 xml:space="preserve">Beskriv udviklingen i den realøkonomiske fordeling for den offentlige forvaltning og service i så lang </w:t>
      </w:r>
      <w:r>
        <w:rPr>
          <w:rFonts w:asciiTheme="minorHAnsi" w:hAnsiTheme="minorHAnsi" w:cstheme="minorHAnsi"/>
          <w:szCs w:val="24"/>
        </w:rPr>
        <w:t xml:space="preserve">en </w:t>
      </w:r>
      <w:r w:rsidRPr="000E6445">
        <w:rPr>
          <w:rFonts w:asciiTheme="minorHAnsi" w:hAnsiTheme="minorHAnsi" w:cstheme="minorHAnsi"/>
          <w:szCs w:val="24"/>
        </w:rPr>
        <w:t xml:space="preserve">periode som muligt. </w:t>
      </w:r>
      <w:r>
        <w:rPr>
          <w:rFonts w:asciiTheme="minorHAnsi" w:hAnsiTheme="minorHAnsi" w:cstheme="minorHAnsi"/>
          <w:szCs w:val="24"/>
        </w:rPr>
        <w:t xml:space="preserve">Beskrivelsen skal indeholde en kort forklaring på forskellen mellem de offentlige indtægter og skatter/afgifter. </w:t>
      </w:r>
      <w:r w:rsidRPr="000E6445">
        <w:rPr>
          <w:rFonts w:asciiTheme="minorHAnsi" w:hAnsiTheme="minorHAnsi" w:cstheme="minorHAnsi"/>
          <w:szCs w:val="24"/>
        </w:rPr>
        <w:t>Beskrivelsen skal blandt andet indeholde en figur, der beskriver udviklingen.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1C2817B6" w14:textId="5447761A" w:rsidR="00702AEF" w:rsidRDefault="00702AEF" w:rsidP="00702AEF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Definitioner </w:t>
      </w:r>
    </w:p>
    <w:p w14:paraId="548AB75C" w14:textId="10CF7AB1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Realøkonomisk fordeling </w:t>
      </w:r>
    </w:p>
    <w:p w14:paraId="4F634F88" w14:textId="77777777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Skatter og afgifter </w:t>
      </w:r>
    </w:p>
    <w:p w14:paraId="3283B190" w14:textId="58E61F18" w:rsidR="00702AEF" w:rsidRP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 w:rsidRPr="00702AEF">
        <w:rPr>
          <w:rFonts w:ascii="Calibri" w:hAnsi="Calibri" w:cs="Calibri"/>
          <w:szCs w:val="24"/>
        </w:rPr>
        <w:t>Tilsvarende for indtægtssiden, selvom fokus først og fremmest her vil være på de</w:t>
      </w:r>
      <w:r w:rsidRPr="00702AEF">
        <w:rPr>
          <w:rFonts w:ascii="Calibri" w:hAnsi="Calibri" w:cs="Calibri"/>
          <w:szCs w:val="24"/>
        </w:rPr>
        <w:t>n</w:t>
      </w:r>
      <w:r>
        <w:rPr>
          <w:rFonts w:ascii="Calibri" w:hAnsi="Calibri" w:cs="Calibri"/>
          <w:szCs w:val="24"/>
        </w:rPr>
        <w:t xml:space="preserve"> </w:t>
      </w:r>
      <w:r w:rsidRPr="00702AEF">
        <w:rPr>
          <w:rFonts w:ascii="Calibri" w:hAnsi="Calibri" w:cs="Calibri"/>
          <w:szCs w:val="24"/>
        </w:rPr>
        <w:t xml:space="preserve">samlede indtægtsside og endelig forskellen mellem udgifter og indtægter = nettofordringserhvervelsen. </w:t>
      </w:r>
    </w:p>
    <w:p w14:paraId="6D1AC4A4" w14:textId="06386E2D" w:rsidR="00702AEF" w:rsidRDefault="00702AEF" w:rsidP="00702AEF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Forbehold </w:t>
      </w:r>
    </w:p>
    <w:p w14:paraId="3DE76461" w14:textId="447B1046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Løbende priser</w:t>
      </w:r>
    </w:p>
    <w:p w14:paraId="378CD319" w14:textId="406CAB2B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Foreløbige værdier</w:t>
      </w:r>
    </w:p>
    <w:p w14:paraId="2EB0C407" w14:textId="15449239" w:rsidR="00702AEF" w:rsidRPr="00702AEF" w:rsidRDefault="00702AEF" w:rsidP="00702AEF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Tal findes på 136</w:t>
      </w:r>
    </w:p>
    <w:p w14:paraId="17B5BB31" w14:textId="77777777" w:rsidR="00702AEF" w:rsidRPr="000E6445" w:rsidRDefault="00702AEF" w:rsidP="00702AEF">
      <w:pPr>
        <w:pStyle w:val="ListParagraph"/>
        <w:widowControl w:val="0"/>
        <w:ind w:left="360"/>
        <w:rPr>
          <w:rFonts w:asciiTheme="minorHAnsi" w:hAnsiTheme="minorHAnsi" w:cstheme="minorHAnsi"/>
          <w:szCs w:val="24"/>
        </w:rPr>
      </w:pPr>
    </w:p>
    <w:p w14:paraId="5AF6155B" w14:textId="790F2ECA" w:rsidR="00702AEF" w:rsidRDefault="00702AEF" w:rsidP="00702AEF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 xml:space="preserve">Forklar baggrunden for ovennævnte udvikling i spørgsmål 1 i samme periode. Derudover skal der redegøres for delsektorerne i den offentlige forvaltning og service, herunder deres hovedopgaver. </w:t>
      </w:r>
    </w:p>
    <w:p w14:paraId="5682ED7F" w14:textId="7F0E4A30" w:rsidR="00702AEF" w:rsidRDefault="00702AEF" w:rsidP="00702AEF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Forklaringer</w:t>
      </w:r>
    </w:p>
    <w:p w14:paraId="1C5299D8" w14:textId="551BF49E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NFE=Indtægter-udgifter</w:t>
      </w:r>
    </w:p>
    <w:p w14:paraId="2C8593B7" w14:textId="77777777" w:rsidR="00702AEF" w:rsidRDefault="00702AEF" w:rsidP="00702AEF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Indtægtssiden</w:t>
      </w:r>
    </w:p>
    <w:p w14:paraId="6C17A715" w14:textId="77777777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Konjunkturer. Privatforbruget</w:t>
      </w:r>
    </w:p>
    <w:p w14:paraId="065C8561" w14:textId="77777777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Registeringsafgiften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60EE34B2" w14:textId="080F488B" w:rsidR="00702AEF" w:rsidRP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 w:rsidRPr="00702AEF">
        <w:rPr>
          <w:rFonts w:ascii="Calibri" w:hAnsi="Calibri" w:cs="Calibri"/>
        </w:rPr>
        <w:t xml:space="preserve">Det skal ikke trække ned, </w:t>
      </w:r>
      <w:proofErr w:type="spellStart"/>
      <w:r w:rsidRPr="00702AEF">
        <w:rPr>
          <w:rFonts w:ascii="Calibri" w:hAnsi="Calibri" w:cs="Calibri"/>
        </w:rPr>
        <w:t>såfremt</w:t>
      </w:r>
      <w:proofErr w:type="spellEnd"/>
      <w:r w:rsidRPr="00702AEF">
        <w:rPr>
          <w:rFonts w:ascii="Calibri" w:hAnsi="Calibri" w:cs="Calibri"/>
        </w:rPr>
        <w:t xml:space="preserve"> den studerende ikke kommer ind på </w:t>
      </w:r>
      <w:proofErr w:type="spellStart"/>
      <w:r w:rsidRPr="00702AEF">
        <w:rPr>
          <w:rFonts w:ascii="Calibri" w:hAnsi="Calibri" w:cs="Calibri"/>
        </w:rPr>
        <w:t>enkeltstående</w:t>
      </w:r>
      <w:proofErr w:type="spellEnd"/>
      <w:r w:rsidRPr="00702AEF">
        <w:rPr>
          <w:rFonts w:ascii="Calibri" w:hAnsi="Calibri" w:cs="Calibri"/>
        </w:rPr>
        <w:t xml:space="preserve"> politiske beslutninger, som har </w:t>
      </w:r>
      <w:proofErr w:type="spellStart"/>
      <w:r w:rsidRPr="00702AEF">
        <w:rPr>
          <w:rFonts w:ascii="Calibri" w:hAnsi="Calibri" w:cs="Calibri"/>
        </w:rPr>
        <w:t>påvirket</w:t>
      </w:r>
      <w:proofErr w:type="spellEnd"/>
      <w:r w:rsidRPr="00702AEF">
        <w:rPr>
          <w:rFonts w:ascii="Calibri" w:hAnsi="Calibri" w:cs="Calibri"/>
        </w:rPr>
        <w:t xml:space="preserve"> NFE mærkbart. Her kan nævnes 2009: Opsparede SP-bidrag frigives (ekstraordinær indtægt) og særligt i 2014: Kapitalpensionsmidler kunne blive beskattet her og nu med rabat (godt 37 pct. mod 40 pct. ved normal hævning), som indebar en ekstraordinær indtægt. </w:t>
      </w:r>
    </w:p>
    <w:p w14:paraId="4D5EAA34" w14:textId="2AD48A26" w:rsidR="00702AEF" w:rsidRDefault="00702AEF" w:rsidP="00702AEF">
      <w:pPr>
        <w:widowControl w:val="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Udgiftssiden </w:t>
      </w:r>
    </w:p>
    <w:p w14:paraId="022E6333" w14:textId="06F2AC3C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Konjunkturer. </w:t>
      </w:r>
    </w:p>
    <w:p w14:paraId="37940627" w14:textId="77777777" w:rsidR="00702AEF" w:rsidRPr="00702AEF" w:rsidRDefault="00702AEF" w:rsidP="00702AEF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702AEF">
        <w:rPr>
          <w:rFonts w:ascii="Calibri" w:hAnsi="Calibri" w:cs="Calibri"/>
          <w:lang w:val="da-DK"/>
        </w:rPr>
        <w:t xml:space="preserve">Udvikling i indkomstoverførsler. Indkomstoverførsler som dagpenge/kontanthjælp følger </w:t>
      </w:r>
      <w:proofErr w:type="spellStart"/>
      <w:r w:rsidRPr="00702AEF">
        <w:rPr>
          <w:rFonts w:ascii="Calibri" w:hAnsi="Calibri" w:cs="Calibri"/>
          <w:lang w:val="da-DK"/>
        </w:rPr>
        <w:t>ogsa</w:t>
      </w:r>
      <w:proofErr w:type="spellEnd"/>
      <w:r w:rsidRPr="00702AEF">
        <w:rPr>
          <w:rFonts w:ascii="Calibri" w:hAnsi="Calibri" w:cs="Calibri"/>
          <w:lang w:val="da-DK"/>
        </w:rPr>
        <w:t xml:space="preserve">̊ konjunkturerne, hvilket gør de sociale overførsler under </w:t>
      </w:r>
      <w:proofErr w:type="spellStart"/>
      <w:r w:rsidRPr="00702AEF">
        <w:rPr>
          <w:rFonts w:ascii="Calibri" w:hAnsi="Calibri" w:cs="Calibri"/>
          <w:lang w:val="da-DK"/>
        </w:rPr>
        <w:t>ét</w:t>
      </w:r>
      <w:proofErr w:type="spellEnd"/>
      <w:r w:rsidRPr="00702AEF">
        <w:rPr>
          <w:rFonts w:ascii="Calibri" w:hAnsi="Calibri" w:cs="Calibri"/>
          <w:lang w:val="da-DK"/>
        </w:rPr>
        <w:t xml:space="preserve"> konjunkturafhængige. Derudover er indkomstoverførsler afhængige af demografien fx flere ældre (vokset med over 200.000 ældre over 65 </w:t>
      </w:r>
      <w:proofErr w:type="spellStart"/>
      <w:r w:rsidRPr="00702AEF">
        <w:rPr>
          <w:rFonts w:ascii="Calibri" w:hAnsi="Calibri" w:cs="Calibri"/>
          <w:lang w:val="da-DK"/>
        </w:rPr>
        <w:t>år</w:t>
      </w:r>
      <w:proofErr w:type="spellEnd"/>
      <w:r w:rsidRPr="00702AEF">
        <w:rPr>
          <w:rFonts w:ascii="Calibri" w:hAnsi="Calibri" w:cs="Calibri"/>
          <w:lang w:val="da-DK"/>
        </w:rPr>
        <w:t xml:space="preserve"> i perioden jf. </w:t>
      </w:r>
      <w:r w:rsidRPr="00702AEF">
        <w:rPr>
          <w:rFonts w:ascii="Calibri" w:hAnsi="Calibri" w:cs="Calibri"/>
        </w:rPr>
        <w:t xml:space="preserve">STO s. 20 </w:t>
      </w:r>
      <w:proofErr w:type="spellStart"/>
      <w:r w:rsidRPr="00702AEF">
        <w:rPr>
          <w:rFonts w:ascii="Calibri" w:hAnsi="Calibri" w:cs="Calibri"/>
        </w:rPr>
        <w:t>eller</w:t>
      </w:r>
      <w:proofErr w:type="spellEnd"/>
      <w:r w:rsidRPr="00702AEF">
        <w:rPr>
          <w:rFonts w:ascii="Calibri" w:hAnsi="Calibri" w:cs="Calibri"/>
        </w:rPr>
        <w:t xml:space="preserve"> ST. s 47). </w:t>
      </w:r>
    </w:p>
    <w:p w14:paraId="0DC9B450" w14:textId="4DE1A4DF" w:rsidR="00702AEF" w:rsidRPr="00702AEF" w:rsidRDefault="00702AEF" w:rsidP="00702AEF">
      <w:pPr>
        <w:pStyle w:val="NormalWeb"/>
        <w:numPr>
          <w:ilvl w:val="0"/>
          <w:numId w:val="5"/>
        </w:numPr>
        <w:rPr>
          <w:rFonts w:ascii="Calibri" w:hAnsi="Calibri" w:cs="Calibri"/>
          <w:lang w:val="da-DK"/>
        </w:rPr>
      </w:pPr>
      <w:r w:rsidRPr="00702AEF">
        <w:rPr>
          <w:rFonts w:ascii="Calibri" w:hAnsi="Calibri" w:cs="Calibri"/>
          <w:lang w:val="da-DK"/>
        </w:rPr>
        <w:lastRenderedPageBreak/>
        <w:t xml:space="preserve">Det er vigtigt, at besvarelsen </w:t>
      </w:r>
      <w:proofErr w:type="spellStart"/>
      <w:r w:rsidRPr="00702AEF">
        <w:rPr>
          <w:rFonts w:ascii="Calibri" w:hAnsi="Calibri" w:cs="Calibri"/>
          <w:lang w:val="da-DK"/>
        </w:rPr>
        <w:t>påpeger</w:t>
      </w:r>
      <w:proofErr w:type="spellEnd"/>
      <w:r w:rsidRPr="00702AEF">
        <w:rPr>
          <w:rFonts w:ascii="Calibri" w:hAnsi="Calibri" w:cs="Calibri"/>
          <w:lang w:val="da-DK"/>
        </w:rPr>
        <w:t xml:space="preserve">, at det offentlige forbrug ikke omfatter den del af de offentlige udgifter, som </w:t>
      </w:r>
      <w:proofErr w:type="spellStart"/>
      <w:r w:rsidRPr="00702AEF">
        <w:rPr>
          <w:rFonts w:ascii="Calibri" w:hAnsi="Calibri" w:cs="Calibri"/>
          <w:lang w:val="da-DK"/>
        </w:rPr>
        <w:t>består</w:t>
      </w:r>
      <w:proofErr w:type="spellEnd"/>
      <w:r w:rsidRPr="00702AEF">
        <w:rPr>
          <w:rFonts w:ascii="Calibri" w:hAnsi="Calibri" w:cs="Calibri"/>
          <w:lang w:val="da-DK"/>
        </w:rPr>
        <w:t xml:space="preserve"> af indkomstoverførelser. Det bør trække meget ned, </w:t>
      </w:r>
      <w:proofErr w:type="spellStart"/>
      <w:r w:rsidRPr="00702AEF">
        <w:rPr>
          <w:rFonts w:ascii="Calibri" w:hAnsi="Calibri" w:cs="Calibri"/>
          <w:lang w:val="da-DK"/>
        </w:rPr>
        <w:t>såfremt</w:t>
      </w:r>
      <w:proofErr w:type="spellEnd"/>
      <w:r w:rsidRPr="00702AEF">
        <w:rPr>
          <w:rFonts w:ascii="Calibri" w:hAnsi="Calibri" w:cs="Calibri"/>
          <w:lang w:val="da-DK"/>
        </w:rPr>
        <w:t xml:space="preserve"> besvarelsen viser, at dette forhold har man ikke kendskab til/taget højde for.</w:t>
      </w:r>
    </w:p>
    <w:p w14:paraId="0E172AF2" w14:textId="77777777" w:rsidR="00702AEF" w:rsidRPr="000E6445" w:rsidRDefault="00702AEF" w:rsidP="00702AEF">
      <w:pPr>
        <w:tabs>
          <w:tab w:val="left" w:pos="567"/>
        </w:tabs>
        <w:rPr>
          <w:rFonts w:asciiTheme="minorHAnsi" w:hAnsiTheme="minorHAnsi" w:cstheme="minorHAnsi"/>
          <w:b/>
          <w:szCs w:val="24"/>
        </w:rPr>
      </w:pPr>
      <w:r w:rsidRPr="000E6445">
        <w:rPr>
          <w:rFonts w:asciiTheme="minorHAnsi" w:hAnsiTheme="minorHAnsi" w:cstheme="minorHAnsi"/>
          <w:b/>
          <w:szCs w:val="24"/>
        </w:rPr>
        <w:t>Delopgave B</w:t>
      </w:r>
    </w:p>
    <w:p w14:paraId="29D73D23" w14:textId="77777777" w:rsidR="00702AEF" w:rsidRPr="000E6445" w:rsidRDefault="00702AEF" w:rsidP="00702AEF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 w:cstheme="minorHAnsi"/>
        </w:rPr>
      </w:pPr>
      <w:r w:rsidRPr="000E6445">
        <w:rPr>
          <w:rFonts w:asciiTheme="minorHAnsi" w:hAnsiTheme="minorHAnsi" w:cstheme="minorHAnsi"/>
        </w:rPr>
        <w:t>Beskriv udviklingen i udlandsstillingen, netto, samt betalingsbalancens løbende poster, netto, herunder to komponenter fra begge statistikker, i så lang en periode som muligt.</w:t>
      </w:r>
    </w:p>
    <w:p w14:paraId="41513C89" w14:textId="3070D26F" w:rsidR="00702AEF" w:rsidRDefault="00702AEF" w:rsidP="00702AEF">
      <w:pPr>
        <w:pStyle w:val="ListParagraph"/>
        <w:widowControl w:val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Definitioner </w:t>
      </w:r>
    </w:p>
    <w:p w14:paraId="01310FA0" w14:textId="248E4D93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Betalingsbalancen og kapitalbalancen ST. 197 og 200 </w:t>
      </w:r>
    </w:p>
    <w:p w14:paraId="0242B921" w14:textId="7243F8E1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Udlandsstillingen </w:t>
      </w:r>
    </w:p>
    <w:p w14:paraId="34AFD556" w14:textId="28452E9B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Brug HKU kap 6 og 7. </w:t>
      </w:r>
    </w:p>
    <w:p w14:paraId="0119ADFB" w14:textId="78A34346" w:rsidR="00702AEF" w:rsidRDefault="00702AEF" w:rsidP="00702AEF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Forbehold </w:t>
      </w:r>
    </w:p>
    <w:p w14:paraId="2A58CEDD" w14:textId="149CF874" w:rsid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Løbende priser </w:t>
      </w:r>
    </w:p>
    <w:p w14:paraId="27A6E78B" w14:textId="432B1C12" w:rsidR="00702AEF" w:rsidRPr="00702AEF" w:rsidRDefault="00702AEF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Foreløbige tal </w:t>
      </w:r>
    </w:p>
    <w:p w14:paraId="34E390F7" w14:textId="77777777" w:rsidR="00702AEF" w:rsidRDefault="00702AEF" w:rsidP="00702AEF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Betalingsbalancen og handelsbalancen </w:t>
      </w:r>
    </w:p>
    <w:p w14:paraId="37EF8425" w14:textId="67E0B00F" w:rsidR="00702AEF" w:rsidRDefault="00702AEF" w:rsidP="00702AEF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Tallene findes på 159 og 160 </w:t>
      </w:r>
    </w:p>
    <w:p w14:paraId="31CF2144" w14:textId="77777777" w:rsidR="00702AEF" w:rsidRPr="00702AEF" w:rsidRDefault="00702AEF" w:rsidP="00702AEF">
      <w:pPr>
        <w:widowControl w:val="0"/>
        <w:rPr>
          <w:rFonts w:asciiTheme="minorHAnsi" w:hAnsiTheme="minorHAnsi" w:cstheme="minorHAnsi"/>
        </w:rPr>
      </w:pPr>
    </w:p>
    <w:p w14:paraId="648C1EEC" w14:textId="723C042B" w:rsidR="00702AEF" w:rsidRDefault="00702AEF" w:rsidP="00702AEF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 w:cstheme="minorHAnsi"/>
        </w:rPr>
      </w:pPr>
      <w:r w:rsidRPr="000E6445">
        <w:rPr>
          <w:rFonts w:asciiTheme="minorHAnsi" w:hAnsiTheme="minorHAnsi" w:cstheme="minorHAnsi"/>
        </w:rPr>
        <w:t xml:space="preserve">Forklar baggrunden for ovennævnte udvikling i spørgsmål 1 i samme periode samt forklar sammenhængene mellem de to statistikker, samt hvad er baggrunden for udviklingen i formueindkomsten, netto, i perioden. </w:t>
      </w:r>
    </w:p>
    <w:p w14:paraId="0378D6FE" w14:textId="6489177D" w:rsidR="00702AEF" w:rsidRDefault="00702AEF" w:rsidP="00702AEF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Forklaringer </w:t>
      </w:r>
    </w:p>
    <w:p w14:paraId="2917F792" w14:textId="47A6197C" w:rsidR="00702AEF" w:rsidRPr="00702AEF" w:rsidRDefault="00702AEF" w:rsidP="00702AEF">
      <w:pPr>
        <w:pStyle w:val="NormalWeb"/>
        <w:numPr>
          <w:ilvl w:val="0"/>
          <w:numId w:val="9"/>
        </w:numPr>
        <w:rPr>
          <w:rFonts w:ascii="SymbolMT" w:hAnsi="SymbolMT"/>
          <w:sz w:val="20"/>
          <w:szCs w:val="20"/>
          <w:lang w:val="da-DK"/>
        </w:rPr>
      </w:pPr>
      <w:r w:rsidRPr="00702AEF">
        <w:rPr>
          <w:rFonts w:ascii="Calibri" w:hAnsi="Calibri" w:cs="Calibri"/>
          <w:lang w:val="da-DK"/>
        </w:rPr>
        <w:t xml:space="preserve">Den studerende skal forklare sammenhængene mellem de to statistikker, jf. HKU s. 139, 15-17, 147-149, og sammenhængen er kort, at betalingsbalancens finansielle poster </w:t>
      </w:r>
      <w:proofErr w:type="spellStart"/>
      <w:r w:rsidRPr="00702AEF">
        <w:rPr>
          <w:rFonts w:ascii="Calibri" w:hAnsi="Calibri" w:cs="Calibri"/>
          <w:lang w:val="da-DK"/>
        </w:rPr>
        <w:t>påvirker</w:t>
      </w:r>
      <w:proofErr w:type="spellEnd"/>
      <w:r w:rsidRPr="00702AEF">
        <w:rPr>
          <w:rFonts w:ascii="Calibri" w:hAnsi="Calibri" w:cs="Calibri"/>
          <w:lang w:val="da-DK"/>
        </w:rPr>
        <w:t xml:space="preserve"> udlandsstillingen/kapitalbalancen, og det gør </w:t>
      </w:r>
      <w:proofErr w:type="spellStart"/>
      <w:r w:rsidRPr="00702AEF">
        <w:rPr>
          <w:rFonts w:ascii="Calibri" w:hAnsi="Calibri" w:cs="Calibri"/>
          <w:lang w:val="da-DK"/>
        </w:rPr>
        <w:t>ogsa</w:t>
      </w:r>
      <w:proofErr w:type="spellEnd"/>
      <w:r w:rsidRPr="00702AEF">
        <w:rPr>
          <w:rFonts w:ascii="Calibri" w:hAnsi="Calibri" w:cs="Calibri"/>
          <w:lang w:val="da-DK"/>
        </w:rPr>
        <w:t xml:space="preserve">̊ de værdireguleringer, som indimellem forstyrrer, jf. senere, idet udlandsstillingen kan falde som følge af at negative værdireguleringer af aktiver/passiver kan være større end overskuddet på betalingsbalancens løbende poster, som placeres på forskellige finansielle poster. </w:t>
      </w:r>
      <w:proofErr w:type="spellStart"/>
      <w:r w:rsidRPr="00702AEF">
        <w:rPr>
          <w:rFonts w:ascii="Verdana" w:hAnsi="Verdana"/>
          <w:sz w:val="20"/>
          <w:szCs w:val="20"/>
          <w:lang w:val="da-DK"/>
        </w:rPr>
        <w:t>Sa</w:t>
      </w:r>
      <w:r w:rsidRPr="00702AEF">
        <w:rPr>
          <w:rFonts w:ascii="Arial" w:hAnsi="Arial" w:cs="Arial"/>
          <w:sz w:val="20"/>
          <w:szCs w:val="20"/>
          <w:lang w:val="da-DK"/>
        </w:rPr>
        <w:t>̊</w:t>
      </w:r>
      <w:r w:rsidRPr="00702AEF">
        <w:rPr>
          <w:rFonts w:ascii="Verdana" w:hAnsi="Verdana"/>
          <w:sz w:val="20"/>
          <w:szCs w:val="20"/>
          <w:lang w:val="da-DK"/>
        </w:rPr>
        <w:t>fremt</w:t>
      </w:r>
      <w:proofErr w:type="spellEnd"/>
      <w:r w:rsidRPr="00702AEF">
        <w:rPr>
          <w:rFonts w:ascii="Verdana" w:hAnsi="Verdana"/>
          <w:sz w:val="20"/>
          <w:szCs w:val="20"/>
          <w:lang w:val="da-DK"/>
        </w:rPr>
        <w:t xml:space="preserve"> det ikke er medtaget, </w:t>
      </w:r>
      <w:proofErr w:type="spellStart"/>
      <w:r w:rsidRPr="00702AEF">
        <w:rPr>
          <w:rFonts w:ascii="Verdana" w:hAnsi="Verdana"/>
          <w:sz w:val="20"/>
          <w:szCs w:val="20"/>
          <w:lang w:val="da-DK"/>
        </w:rPr>
        <w:t>sa</w:t>
      </w:r>
      <w:proofErr w:type="spellEnd"/>
      <w:r w:rsidRPr="00702AEF">
        <w:rPr>
          <w:rFonts w:ascii="Arial" w:hAnsi="Arial" w:cs="Arial"/>
          <w:sz w:val="20"/>
          <w:szCs w:val="20"/>
          <w:lang w:val="da-DK"/>
        </w:rPr>
        <w:t>̊</w:t>
      </w:r>
      <w:r w:rsidRPr="00702AEF">
        <w:rPr>
          <w:rFonts w:ascii="Verdana" w:hAnsi="Verdana"/>
          <w:sz w:val="20"/>
          <w:szCs w:val="20"/>
          <w:lang w:val="da-DK"/>
        </w:rPr>
        <w:t xml:space="preserve"> skal det trække meget ned, idet det </w:t>
      </w:r>
      <w:proofErr w:type="spellStart"/>
      <w:r w:rsidRPr="00702AEF">
        <w:rPr>
          <w:rFonts w:ascii="Verdana" w:hAnsi="Verdana"/>
          <w:sz w:val="20"/>
          <w:szCs w:val="20"/>
          <w:lang w:val="da-DK"/>
        </w:rPr>
        <w:t>fremga</w:t>
      </w:r>
      <w:r w:rsidRPr="00702AEF">
        <w:rPr>
          <w:rFonts w:ascii="Arial" w:hAnsi="Arial" w:cs="Arial"/>
          <w:sz w:val="20"/>
          <w:szCs w:val="20"/>
          <w:lang w:val="da-DK"/>
        </w:rPr>
        <w:t>̊</w:t>
      </w:r>
      <w:r w:rsidRPr="00702AEF">
        <w:rPr>
          <w:rFonts w:ascii="Verdana" w:hAnsi="Verdana"/>
          <w:sz w:val="20"/>
          <w:szCs w:val="20"/>
          <w:lang w:val="da-DK"/>
        </w:rPr>
        <w:t>r</w:t>
      </w:r>
      <w:proofErr w:type="spellEnd"/>
      <w:r w:rsidRPr="00702AEF">
        <w:rPr>
          <w:rFonts w:ascii="Verdana" w:hAnsi="Verdana"/>
          <w:sz w:val="20"/>
          <w:szCs w:val="20"/>
          <w:lang w:val="da-DK"/>
        </w:rPr>
        <w:t xml:space="preserve"> af eksamensopgaven, at der skal være en </w:t>
      </w:r>
      <w:proofErr w:type="spellStart"/>
      <w:r w:rsidRPr="00702AEF">
        <w:rPr>
          <w:rFonts w:ascii="Verdana" w:hAnsi="Verdana"/>
          <w:sz w:val="20"/>
          <w:szCs w:val="20"/>
          <w:lang w:val="da-DK"/>
        </w:rPr>
        <w:t>sa</w:t>
      </w:r>
      <w:r w:rsidRPr="00702AEF">
        <w:rPr>
          <w:rFonts w:ascii="Arial" w:hAnsi="Arial" w:cs="Arial"/>
          <w:sz w:val="20"/>
          <w:szCs w:val="20"/>
          <w:lang w:val="da-DK"/>
        </w:rPr>
        <w:t>̊</w:t>
      </w:r>
      <w:r w:rsidRPr="00702AEF">
        <w:rPr>
          <w:rFonts w:ascii="Verdana" w:hAnsi="Verdana"/>
          <w:sz w:val="20"/>
          <w:szCs w:val="20"/>
          <w:lang w:val="da-DK"/>
        </w:rPr>
        <w:t>dan</w:t>
      </w:r>
      <w:proofErr w:type="spellEnd"/>
      <w:r w:rsidRPr="00702AEF">
        <w:rPr>
          <w:rFonts w:ascii="Verdana" w:hAnsi="Verdana"/>
          <w:sz w:val="20"/>
          <w:szCs w:val="20"/>
          <w:lang w:val="da-DK"/>
        </w:rPr>
        <w:t xml:space="preserve"> forklaring af sammenhængene mellem de to statistikker. </w:t>
      </w:r>
    </w:p>
    <w:p w14:paraId="2BD43A8E" w14:textId="46EB7683" w:rsidR="00702AEF" w:rsidRPr="00702AEF" w:rsidRDefault="00702AEF" w:rsidP="00702AEF">
      <w:pPr>
        <w:pStyle w:val="NormalWeb"/>
        <w:numPr>
          <w:ilvl w:val="0"/>
          <w:numId w:val="9"/>
        </w:numPr>
        <w:rPr>
          <w:rFonts w:ascii="SymbolMT" w:hAnsi="SymbolMT"/>
          <w:sz w:val="20"/>
          <w:szCs w:val="20"/>
          <w:lang w:val="da-DK"/>
        </w:rPr>
      </w:pPr>
      <w:r w:rsidRPr="00702AEF">
        <w:rPr>
          <w:rFonts w:ascii="Calibri" w:hAnsi="Calibri" w:cs="Calibri"/>
          <w:lang w:val="da-DK"/>
        </w:rPr>
        <w:t xml:space="preserve">Den studerende skal </w:t>
      </w:r>
      <w:proofErr w:type="spellStart"/>
      <w:r w:rsidRPr="00702AEF">
        <w:rPr>
          <w:rFonts w:ascii="Calibri" w:hAnsi="Calibri" w:cs="Calibri"/>
          <w:lang w:val="da-DK"/>
        </w:rPr>
        <w:t>ogsa</w:t>
      </w:r>
      <w:proofErr w:type="spellEnd"/>
      <w:r w:rsidRPr="00702AEF">
        <w:rPr>
          <w:rFonts w:ascii="Calibri" w:hAnsi="Calibri" w:cs="Calibri"/>
          <w:lang w:val="da-DK"/>
        </w:rPr>
        <w:t xml:space="preserve">̊ forklare, hvad baggrunden er for udviklingen i formueindkomsten, netto, i perioden. Udviklingen er netop er positiv, hvilket skyldes en voksende nettoformue og dermed positiv udlandsstilling, jf. bl.a. HKU s. 15-16. </w:t>
      </w:r>
      <w:proofErr w:type="spellStart"/>
      <w:r w:rsidRPr="00702AEF">
        <w:rPr>
          <w:rFonts w:ascii="Verdana" w:hAnsi="Verdana"/>
          <w:sz w:val="20"/>
          <w:szCs w:val="20"/>
          <w:lang w:val="da-DK"/>
        </w:rPr>
        <w:t>Sa</w:t>
      </w:r>
      <w:r w:rsidRPr="00702AEF">
        <w:rPr>
          <w:rFonts w:ascii="Arial" w:hAnsi="Arial" w:cs="Arial"/>
          <w:sz w:val="20"/>
          <w:szCs w:val="20"/>
          <w:lang w:val="da-DK"/>
        </w:rPr>
        <w:t>̊</w:t>
      </w:r>
      <w:r w:rsidRPr="00702AEF">
        <w:rPr>
          <w:rFonts w:ascii="Verdana" w:hAnsi="Verdana"/>
          <w:sz w:val="20"/>
          <w:szCs w:val="20"/>
          <w:lang w:val="da-DK"/>
        </w:rPr>
        <w:t>fremt</w:t>
      </w:r>
      <w:proofErr w:type="spellEnd"/>
      <w:r w:rsidRPr="00702AEF">
        <w:rPr>
          <w:rFonts w:ascii="Verdana" w:hAnsi="Verdana"/>
          <w:sz w:val="20"/>
          <w:szCs w:val="20"/>
          <w:lang w:val="da-DK"/>
        </w:rPr>
        <w:t xml:space="preserve"> det ikke er medtaget, </w:t>
      </w:r>
      <w:proofErr w:type="spellStart"/>
      <w:r w:rsidRPr="00702AEF">
        <w:rPr>
          <w:rFonts w:ascii="Verdana" w:hAnsi="Verdana"/>
          <w:sz w:val="20"/>
          <w:szCs w:val="20"/>
          <w:lang w:val="da-DK"/>
        </w:rPr>
        <w:t>sa</w:t>
      </w:r>
      <w:proofErr w:type="spellEnd"/>
      <w:r w:rsidRPr="00702AEF">
        <w:rPr>
          <w:rFonts w:ascii="Arial" w:hAnsi="Arial" w:cs="Arial"/>
          <w:sz w:val="20"/>
          <w:szCs w:val="20"/>
          <w:lang w:val="da-DK"/>
        </w:rPr>
        <w:t>̊</w:t>
      </w:r>
      <w:r w:rsidRPr="00702AEF">
        <w:rPr>
          <w:rFonts w:ascii="Verdana" w:hAnsi="Verdana"/>
          <w:sz w:val="20"/>
          <w:szCs w:val="20"/>
          <w:lang w:val="da-DK"/>
        </w:rPr>
        <w:t xml:space="preserve"> skal det trække meget ned, idet det </w:t>
      </w:r>
      <w:proofErr w:type="spellStart"/>
      <w:r w:rsidRPr="00702AEF">
        <w:rPr>
          <w:rFonts w:ascii="Verdana" w:hAnsi="Verdana"/>
          <w:sz w:val="20"/>
          <w:szCs w:val="20"/>
          <w:lang w:val="da-DK"/>
        </w:rPr>
        <w:t>fremga</w:t>
      </w:r>
      <w:r w:rsidRPr="00702AEF">
        <w:rPr>
          <w:rFonts w:ascii="Arial" w:hAnsi="Arial" w:cs="Arial"/>
          <w:sz w:val="20"/>
          <w:szCs w:val="20"/>
          <w:lang w:val="da-DK"/>
        </w:rPr>
        <w:t>̊</w:t>
      </w:r>
      <w:r w:rsidRPr="00702AEF">
        <w:rPr>
          <w:rFonts w:ascii="Verdana" w:hAnsi="Verdana"/>
          <w:sz w:val="20"/>
          <w:szCs w:val="20"/>
          <w:lang w:val="da-DK"/>
        </w:rPr>
        <w:t>r</w:t>
      </w:r>
      <w:proofErr w:type="spellEnd"/>
      <w:r w:rsidRPr="00702AEF">
        <w:rPr>
          <w:rFonts w:ascii="Verdana" w:hAnsi="Verdana"/>
          <w:sz w:val="20"/>
          <w:szCs w:val="20"/>
          <w:lang w:val="da-DK"/>
        </w:rPr>
        <w:t xml:space="preserve"> af eksamensopgaven, at der skal være en </w:t>
      </w:r>
      <w:proofErr w:type="spellStart"/>
      <w:r w:rsidRPr="00702AEF">
        <w:rPr>
          <w:rFonts w:ascii="Verdana" w:hAnsi="Verdana"/>
          <w:sz w:val="20"/>
          <w:szCs w:val="20"/>
          <w:lang w:val="da-DK"/>
        </w:rPr>
        <w:t>sa</w:t>
      </w:r>
      <w:r w:rsidRPr="00702AEF">
        <w:rPr>
          <w:rFonts w:ascii="Arial" w:hAnsi="Arial" w:cs="Arial"/>
          <w:sz w:val="20"/>
          <w:szCs w:val="20"/>
          <w:lang w:val="da-DK"/>
        </w:rPr>
        <w:t>̊</w:t>
      </w:r>
      <w:r w:rsidRPr="00702AEF">
        <w:rPr>
          <w:rFonts w:ascii="Verdana" w:hAnsi="Verdana"/>
          <w:sz w:val="20"/>
          <w:szCs w:val="20"/>
          <w:lang w:val="da-DK"/>
        </w:rPr>
        <w:t>dan</w:t>
      </w:r>
      <w:proofErr w:type="spellEnd"/>
      <w:r w:rsidRPr="00702AEF">
        <w:rPr>
          <w:rFonts w:ascii="Verdana" w:hAnsi="Verdana"/>
          <w:sz w:val="20"/>
          <w:szCs w:val="20"/>
          <w:lang w:val="da-DK"/>
        </w:rPr>
        <w:t xml:space="preserve"> forklaring pa</w:t>
      </w:r>
      <w:r w:rsidRPr="00702AEF">
        <w:rPr>
          <w:rFonts w:ascii="Arial" w:hAnsi="Arial" w:cs="Arial"/>
          <w:sz w:val="20"/>
          <w:szCs w:val="20"/>
          <w:lang w:val="da-DK"/>
        </w:rPr>
        <w:t>̊</w:t>
      </w:r>
      <w:r w:rsidRPr="00702AEF">
        <w:rPr>
          <w:rFonts w:ascii="Verdana" w:hAnsi="Verdana"/>
          <w:sz w:val="20"/>
          <w:szCs w:val="20"/>
          <w:lang w:val="da-DK"/>
        </w:rPr>
        <w:t xml:space="preserve"> udviklingen i formueindkomsten. </w:t>
      </w:r>
    </w:p>
    <w:p w14:paraId="07D727E4" w14:textId="77777777" w:rsidR="00702AEF" w:rsidRPr="00702AEF" w:rsidRDefault="00702AEF" w:rsidP="00702AEF">
      <w:pPr>
        <w:pStyle w:val="NormalWeb"/>
        <w:numPr>
          <w:ilvl w:val="0"/>
          <w:numId w:val="9"/>
        </w:numPr>
        <w:rPr>
          <w:rFonts w:ascii="SymbolMT" w:hAnsi="SymbolMT"/>
          <w:lang w:val="da-DK"/>
        </w:rPr>
      </w:pPr>
      <w:proofErr w:type="spellStart"/>
      <w:r w:rsidRPr="00702AEF">
        <w:rPr>
          <w:rFonts w:ascii="Calibri" w:hAnsi="Calibri" w:cs="Calibri"/>
          <w:lang w:val="da-DK"/>
        </w:rPr>
        <w:t>Såfremt</w:t>
      </w:r>
      <w:proofErr w:type="spellEnd"/>
      <w:r w:rsidRPr="00702AEF">
        <w:rPr>
          <w:rFonts w:ascii="Calibri" w:hAnsi="Calibri" w:cs="Calibri"/>
          <w:lang w:val="da-DK"/>
        </w:rPr>
        <w:t xml:space="preserve"> udviklingen i formueindkomsten, netto, ikke er beskrevet i </w:t>
      </w:r>
      <w:proofErr w:type="spellStart"/>
      <w:r w:rsidRPr="00702AEF">
        <w:rPr>
          <w:rFonts w:ascii="Calibri" w:hAnsi="Calibri" w:cs="Calibri"/>
          <w:lang w:val="da-DK"/>
        </w:rPr>
        <w:t>spørgsmål</w:t>
      </w:r>
      <w:proofErr w:type="spellEnd"/>
      <w:r w:rsidRPr="00702AEF">
        <w:rPr>
          <w:rFonts w:ascii="Calibri" w:hAnsi="Calibri" w:cs="Calibri"/>
          <w:lang w:val="da-DK"/>
        </w:rPr>
        <w:t xml:space="preserve"> 1, </w:t>
      </w:r>
      <w:proofErr w:type="spellStart"/>
      <w:r w:rsidRPr="00702AEF">
        <w:rPr>
          <w:rFonts w:ascii="Calibri" w:hAnsi="Calibri" w:cs="Calibri"/>
          <w:lang w:val="da-DK"/>
        </w:rPr>
        <w:t>sa</w:t>
      </w:r>
      <w:proofErr w:type="spellEnd"/>
      <w:r w:rsidRPr="00702AEF">
        <w:rPr>
          <w:rFonts w:ascii="Calibri" w:hAnsi="Calibri" w:cs="Calibri"/>
          <w:lang w:val="da-DK"/>
        </w:rPr>
        <w:t xml:space="preserve">̊ skal det sikres, at den er beskrevet under </w:t>
      </w:r>
      <w:proofErr w:type="spellStart"/>
      <w:r w:rsidRPr="00702AEF">
        <w:rPr>
          <w:rFonts w:ascii="Calibri" w:hAnsi="Calibri" w:cs="Calibri"/>
          <w:lang w:val="da-DK"/>
        </w:rPr>
        <w:t>spørgsmål</w:t>
      </w:r>
      <w:proofErr w:type="spellEnd"/>
      <w:r w:rsidRPr="00702AEF">
        <w:rPr>
          <w:rFonts w:ascii="Calibri" w:hAnsi="Calibri" w:cs="Calibri"/>
          <w:lang w:val="da-DK"/>
        </w:rPr>
        <w:t xml:space="preserve"> 2. Det skal trække meget ned, om den ikke er beskrevet i opgaven, idet det </w:t>
      </w:r>
      <w:proofErr w:type="spellStart"/>
      <w:r w:rsidRPr="00702AEF">
        <w:rPr>
          <w:rFonts w:ascii="Calibri" w:hAnsi="Calibri" w:cs="Calibri"/>
          <w:lang w:val="da-DK"/>
        </w:rPr>
        <w:t>fremgår</w:t>
      </w:r>
      <w:proofErr w:type="spellEnd"/>
      <w:r w:rsidRPr="00702AEF">
        <w:rPr>
          <w:rFonts w:ascii="Calibri" w:hAnsi="Calibri" w:cs="Calibri"/>
          <w:lang w:val="da-DK"/>
        </w:rPr>
        <w:t xml:space="preserve"> specifikt af opgaven. </w:t>
      </w:r>
    </w:p>
    <w:p w14:paraId="6422022F" w14:textId="77777777" w:rsidR="00702AEF" w:rsidRDefault="00702AEF" w:rsidP="00702AEF">
      <w:pPr>
        <w:pStyle w:val="NormalWeb"/>
        <w:numPr>
          <w:ilvl w:val="0"/>
          <w:numId w:val="9"/>
        </w:numPr>
        <w:rPr>
          <w:rFonts w:ascii="SymbolMT" w:hAnsi="SymbolMT"/>
        </w:rPr>
      </w:pPr>
      <w:r w:rsidRPr="00702AEF">
        <w:rPr>
          <w:rFonts w:ascii="Calibri" w:hAnsi="Calibri" w:cs="Calibri"/>
          <w:lang w:val="da-DK"/>
        </w:rPr>
        <w:lastRenderedPageBreak/>
        <w:t xml:space="preserve">I 2015 er den negative ændring i udlandsstillingen udtryk for, at Novo Nordisk aktien stiger voldsomt, hvorfor passiverne alt-andet-lige stiger, og i 2016, hvor Novo Nordisk Aktien falder igen, </w:t>
      </w:r>
      <w:proofErr w:type="spellStart"/>
      <w:r w:rsidRPr="00702AEF">
        <w:rPr>
          <w:rFonts w:ascii="Calibri" w:hAnsi="Calibri" w:cs="Calibri"/>
          <w:lang w:val="da-DK"/>
        </w:rPr>
        <w:t>sa</w:t>
      </w:r>
      <w:proofErr w:type="spellEnd"/>
      <w:r w:rsidRPr="00702AEF">
        <w:rPr>
          <w:rFonts w:ascii="Calibri" w:hAnsi="Calibri" w:cs="Calibri"/>
          <w:lang w:val="da-DK"/>
        </w:rPr>
        <w:t xml:space="preserve">̊ </w:t>
      </w:r>
      <w:proofErr w:type="spellStart"/>
      <w:r w:rsidRPr="00702AEF">
        <w:rPr>
          <w:rFonts w:ascii="Calibri" w:hAnsi="Calibri" w:cs="Calibri"/>
          <w:lang w:val="da-DK"/>
        </w:rPr>
        <w:t>påvirkes</w:t>
      </w:r>
      <w:proofErr w:type="spellEnd"/>
      <w:r w:rsidRPr="00702AEF">
        <w:rPr>
          <w:rFonts w:ascii="Calibri" w:hAnsi="Calibri" w:cs="Calibri"/>
          <w:lang w:val="da-DK"/>
        </w:rPr>
        <w:t xml:space="preserve"> passiverne alt-andet-lige negativt, selvom de fortsat har en positiv ændring om end mindre end i de </w:t>
      </w:r>
      <w:proofErr w:type="spellStart"/>
      <w:r w:rsidRPr="00702AEF">
        <w:rPr>
          <w:rFonts w:ascii="Calibri" w:hAnsi="Calibri" w:cs="Calibri"/>
          <w:lang w:val="da-DK"/>
        </w:rPr>
        <w:t>forudgående</w:t>
      </w:r>
      <w:proofErr w:type="spellEnd"/>
      <w:r w:rsidRPr="00702AEF">
        <w:rPr>
          <w:rFonts w:ascii="Calibri" w:hAnsi="Calibri" w:cs="Calibri"/>
          <w:lang w:val="da-DK"/>
        </w:rPr>
        <w:t xml:space="preserve"> </w:t>
      </w:r>
      <w:proofErr w:type="spellStart"/>
      <w:r w:rsidRPr="00702AEF">
        <w:rPr>
          <w:rFonts w:ascii="Calibri" w:hAnsi="Calibri" w:cs="Calibri"/>
          <w:lang w:val="da-DK"/>
        </w:rPr>
        <w:t>år</w:t>
      </w:r>
      <w:proofErr w:type="spellEnd"/>
      <w:r w:rsidRPr="00702AEF">
        <w:rPr>
          <w:rFonts w:ascii="Calibri" w:hAnsi="Calibri" w:cs="Calibri"/>
          <w:lang w:val="da-DK"/>
        </w:rPr>
        <w:t xml:space="preserve">, jf. </w:t>
      </w:r>
      <w:r>
        <w:rPr>
          <w:rFonts w:ascii="Calibri" w:hAnsi="Calibri" w:cs="Calibri"/>
        </w:rPr>
        <w:t xml:space="preserve">HKU s. 18 </w:t>
      </w:r>
      <w:proofErr w:type="spellStart"/>
      <w:r>
        <w:rPr>
          <w:rFonts w:ascii="Calibri" w:hAnsi="Calibri" w:cs="Calibri"/>
        </w:rPr>
        <w:t>og</w:t>
      </w:r>
      <w:proofErr w:type="spellEnd"/>
      <w:r>
        <w:rPr>
          <w:rFonts w:ascii="Calibri" w:hAnsi="Calibri" w:cs="Calibri"/>
        </w:rPr>
        <w:t xml:space="preserve"> 150. </w:t>
      </w:r>
    </w:p>
    <w:p w14:paraId="6B880230" w14:textId="1DA0FB14" w:rsidR="00702AEF" w:rsidRPr="00702AEF" w:rsidRDefault="00702AEF" w:rsidP="00702AEF">
      <w:pPr>
        <w:pStyle w:val="NormalWeb"/>
        <w:numPr>
          <w:ilvl w:val="0"/>
          <w:numId w:val="9"/>
        </w:numPr>
        <w:rPr>
          <w:rFonts w:ascii="SymbolMT" w:hAnsi="SymbolMT"/>
          <w:lang w:val="da-DK"/>
        </w:rPr>
      </w:pPr>
      <w:r w:rsidRPr="00702AEF">
        <w:rPr>
          <w:rFonts w:ascii="Calibri" w:hAnsi="Calibri" w:cs="Calibri"/>
          <w:lang w:val="da-DK"/>
        </w:rPr>
        <w:t xml:space="preserve">Den studerende skal derudover forklare baggrunden for ovennævnte udvikling i </w:t>
      </w:r>
      <w:proofErr w:type="spellStart"/>
      <w:r w:rsidRPr="00702AEF">
        <w:rPr>
          <w:rFonts w:ascii="Calibri" w:hAnsi="Calibri" w:cs="Calibri"/>
          <w:lang w:val="da-DK"/>
        </w:rPr>
        <w:t>spørgsmål</w:t>
      </w:r>
      <w:proofErr w:type="spellEnd"/>
      <w:r w:rsidRPr="00702AEF">
        <w:rPr>
          <w:rFonts w:ascii="Calibri" w:hAnsi="Calibri" w:cs="Calibri"/>
          <w:lang w:val="da-DK"/>
        </w:rPr>
        <w:t xml:space="preserve"> 1 i samme periode. Her skal der være særlig fokus på konjunkturudviklingen i perioden, hvilket som minimum skal beskrives ved den reale vækstrate i BNP. Relevansen af</w:t>
      </w:r>
      <w:r w:rsidRPr="00702AEF">
        <w:rPr>
          <w:rFonts w:ascii="Calibri" w:hAnsi="Calibri" w:cs="Calibri"/>
          <w:lang w:val="da-DK"/>
        </w:rPr>
        <w:t xml:space="preserve"> </w:t>
      </w:r>
      <w:r w:rsidRPr="00702AEF">
        <w:rPr>
          <w:rFonts w:ascii="Calibri" w:hAnsi="Calibri" w:cs="Calibri"/>
          <w:lang w:val="da-DK"/>
        </w:rPr>
        <w:t xml:space="preserve">konjunkturudviklingen </w:t>
      </w:r>
      <w:r w:rsidRPr="00702AEF">
        <w:rPr>
          <w:rFonts w:ascii="Verdana" w:hAnsi="Verdana"/>
          <w:sz w:val="20"/>
          <w:szCs w:val="20"/>
          <w:lang w:val="da-DK"/>
        </w:rPr>
        <w:t xml:space="preserve">skal godtgøres, ved at give indtryk af </w:t>
      </w:r>
      <w:proofErr w:type="spellStart"/>
      <w:r w:rsidRPr="00702AEF">
        <w:rPr>
          <w:rFonts w:ascii="Verdana" w:hAnsi="Verdana"/>
          <w:sz w:val="20"/>
          <w:szCs w:val="20"/>
          <w:lang w:val="da-DK"/>
        </w:rPr>
        <w:t>forståelse</w:t>
      </w:r>
      <w:proofErr w:type="spellEnd"/>
      <w:r w:rsidRPr="00702AEF">
        <w:rPr>
          <w:rFonts w:ascii="Verdana" w:hAnsi="Verdana"/>
          <w:sz w:val="20"/>
          <w:szCs w:val="20"/>
          <w:lang w:val="da-DK"/>
        </w:rPr>
        <w:t xml:space="preserve"> for sammenhængen mellem udviklingen i BNP i udlandet. Jf. STO s. 177, og efterspørgslen på eksporterede varer/tjenester. Det skal trække væsentligt ned, hvis BNP-udviklingen </w:t>
      </w:r>
      <w:r w:rsidRPr="00702AEF">
        <w:rPr>
          <w:rFonts w:ascii="Calibri" w:hAnsi="Calibri" w:cs="Calibri"/>
          <w:lang w:val="da-DK"/>
        </w:rPr>
        <w:t xml:space="preserve">i udlandet ikke omtales. </w:t>
      </w:r>
    </w:p>
    <w:p w14:paraId="6B0B75C9" w14:textId="1D1DB71B" w:rsidR="00702AEF" w:rsidRPr="00702AEF" w:rsidRDefault="00702AEF" w:rsidP="00702AEF">
      <w:pPr>
        <w:pStyle w:val="NormalWeb"/>
        <w:numPr>
          <w:ilvl w:val="0"/>
          <w:numId w:val="9"/>
        </w:numPr>
        <w:rPr>
          <w:rFonts w:ascii="SymbolMT" w:hAnsi="SymbolMT"/>
          <w:sz w:val="20"/>
          <w:szCs w:val="20"/>
          <w:lang w:val="da-DK"/>
        </w:rPr>
      </w:pPr>
      <w:r w:rsidRPr="00702AEF">
        <w:rPr>
          <w:rFonts w:ascii="Calibri" w:hAnsi="Calibri" w:cs="Calibri"/>
          <w:lang w:val="da-DK"/>
        </w:rPr>
        <w:t xml:space="preserve">Tilsvarende skal der </w:t>
      </w:r>
      <w:proofErr w:type="spellStart"/>
      <w:r w:rsidRPr="00702AEF">
        <w:rPr>
          <w:rFonts w:ascii="Calibri" w:hAnsi="Calibri" w:cs="Calibri"/>
          <w:lang w:val="da-DK"/>
        </w:rPr>
        <w:t>ogsa</w:t>
      </w:r>
      <w:proofErr w:type="spellEnd"/>
      <w:r w:rsidRPr="00702AEF">
        <w:rPr>
          <w:rFonts w:ascii="Calibri" w:hAnsi="Calibri" w:cs="Calibri"/>
          <w:lang w:val="da-DK"/>
        </w:rPr>
        <w:t xml:space="preserve">̊ redegøres for sammenhængen mellem import varer/tjenester og udviklingen i BNP i Danmark, jf. STO s. 105. Der var højkonjunktur frem til 2008, hvor lavkonjunkturen indtræder, som følge ikke mindst af den finansielle krise i </w:t>
      </w:r>
      <w:proofErr w:type="spellStart"/>
      <w:r w:rsidRPr="00702AEF">
        <w:rPr>
          <w:rFonts w:ascii="Calibri" w:hAnsi="Calibri" w:cs="Calibri"/>
          <w:lang w:val="da-DK"/>
        </w:rPr>
        <w:t>såvel</w:t>
      </w:r>
      <w:proofErr w:type="spellEnd"/>
      <w:r w:rsidRPr="00702AEF">
        <w:rPr>
          <w:rFonts w:ascii="Calibri" w:hAnsi="Calibri" w:cs="Calibri"/>
          <w:lang w:val="da-DK"/>
        </w:rPr>
        <w:t xml:space="preserve"> udlandet som i Danmark, som er markant i 2009. </w:t>
      </w:r>
      <w:proofErr w:type="spellStart"/>
      <w:r w:rsidRPr="00702AEF">
        <w:rPr>
          <w:rFonts w:ascii="Calibri" w:hAnsi="Calibri" w:cs="Calibri"/>
        </w:rPr>
        <w:t>Efterfølgende</w:t>
      </w:r>
      <w:proofErr w:type="spellEnd"/>
      <w:r w:rsidRPr="00702AEF">
        <w:rPr>
          <w:rFonts w:ascii="Calibri" w:hAnsi="Calibri" w:cs="Calibri"/>
        </w:rPr>
        <w:t xml:space="preserve"> </w:t>
      </w:r>
      <w:proofErr w:type="spellStart"/>
      <w:r w:rsidRPr="00702AEF">
        <w:rPr>
          <w:rFonts w:ascii="Calibri" w:hAnsi="Calibri" w:cs="Calibri"/>
        </w:rPr>
        <w:t>igen</w:t>
      </w:r>
      <w:proofErr w:type="spellEnd"/>
      <w:r w:rsidRPr="00702AEF">
        <w:rPr>
          <w:rFonts w:ascii="Calibri" w:hAnsi="Calibri" w:cs="Calibri"/>
        </w:rPr>
        <w:t xml:space="preserve"> </w:t>
      </w:r>
      <w:proofErr w:type="spellStart"/>
      <w:r w:rsidRPr="00702AEF">
        <w:rPr>
          <w:rFonts w:ascii="Calibri" w:hAnsi="Calibri" w:cs="Calibri"/>
        </w:rPr>
        <w:t>højkonjunktur</w:t>
      </w:r>
      <w:proofErr w:type="spellEnd"/>
      <w:r w:rsidRPr="00702AEF">
        <w:rPr>
          <w:rFonts w:ascii="Calibri" w:hAnsi="Calibri" w:cs="Calibri"/>
        </w:rPr>
        <w:t xml:space="preserve"> </w:t>
      </w:r>
      <w:proofErr w:type="spellStart"/>
      <w:r w:rsidRPr="00702AEF">
        <w:rPr>
          <w:rFonts w:ascii="Calibri" w:hAnsi="Calibri" w:cs="Calibri"/>
        </w:rPr>
        <w:t>fra</w:t>
      </w:r>
      <w:proofErr w:type="spellEnd"/>
      <w:r w:rsidRPr="00702AEF">
        <w:rPr>
          <w:rFonts w:ascii="Calibri" w:hAnsi="Calibri" w:cs="Calibri"/>
        </w:rPr>
        <w:t xml:space="preserve"> 2014 </w:t>
      </w:r>
      <w:proofErr w:type="spellStart"/>
      <w:r w:rsidRPr="00702AEF">
        <w:rPr>
          <w:rFonts w:ascii="Calibri" w:hAnsi="Calibri" w:cs="Calibri"/>
        </w:rPr>
        <w:t>og</w:t>
      </w:r>
      <w:proofErr w:type="spellEnd"/>
      <w:r w:rsidRPr="00702AEF">
        <w:rPr>
          <w:rFonts w:ascii="Calibri" w:hAnsi="Calibri" w:cs="Calibri"/>
        </w:rPr>
        <w:t xml:space="preserve"> </w:t>
      </w:r>
      <w:proofErr w:type="spellStart"/>
      <w:r w:rsidRPr="00702AEF">
        <w:rPr>
          <w:rFonts w:ascii="Calibri" w:hAnsi="Calibri" w:cs="Calibri"/>
        </w:rPr>
        <w:t>frem</w:t>
      </w:r>
      <w:proofErr w:type="spellEnd"/>
      <w:r w:rsidRPr="00702AEF">
        <w:rPr>
          <w:rFonts w:ascii="Calibri" w:hAnsi="Calibri" w:cs="Calibri"/>
        </w:rPr>
        <w:t xml:space="preserve">. </w:t>
      </w:r>
    </w:p>
    <w:p w14:paraId="31B297FB" w14:textId="77777777" w:rsidR="00702AEF" w:rsidRPr="000E6445" w:rsidRDefault="00702AEF" w:rsidP="00702AEF">
      <w:pPr>
        <w:tabs>
          <w:tab w:val="clear" w:pos="454"/>
          <w:tab w:val="left" w:pos="567"/>
        </w:tabs>
        <w:spacing w:line="240" w:lineRule="auto"/>
        <w:rPr>
          <w:rFonts w:asciiTheme="minorHAnsi" w:hAnsiTheme="minorHAnsi" w:cstheme="minorHAnsi"/>
          <w:b/>
          <w:szCs w:val="24"/>
        </w:rPr>
      </w:pPr>
      <w:r w:rsidRPr="000E6445">
        <w:rPr>
          <w:rFonts w:asciiTheme="minorHAnsi" w:hAnsiTheme="minorHAnsi" w:cstheme="minorHAnsi"/>
          <w:b/>
          <w:szCs w:val="24"/>
        </w:rPr>
        <w:t>Delopgave C</w:t>
      </w:r>
    </w:p>
    <w:p w14:paraId="46CADC95" w14:textId="7B16CC4D" w:rsidR="00702AEF" w:rsidRDefault="00702AEF" w:rsidP="00702AEF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 w:cstheme="minorHAnsi"/>
        </w:rPr>
      </w:pPr>
      <w:r w:rsidRPr="000E6445">
        <w:rPr>
          <w:rFonts w:asciiTheme="minorHAnsi" w:hAnsiTheme="minorHAnsi" w:cstheme="minorHAnsi"/>
        </w:rPr>
        <w:t>Beskriv udviklingen i de samlede overførselsindkomster til husholdningerne i alt samt mindst t</w:t>
      </w:r>
      <w:r>
        <w:rPr>
          <w:rFonts w:asciiTheme="minorHAnsi" w:hAnsiTheme="minorHAnsi" w:cstheme="minorHAnsi"/>
        </w:rPr>
        <w:t>o</w:t>
      </w:r>
      <w:r w:rsidRPr="000E6445">
        <w:rPr>
          <w:rFonts w:asciiTheme="minorHAnsi" w:hAnsiTheme="minorHAnsi" w:cstheme="minorHAnsi"/>
        </w:rPr>
        <w:t xml:space="preserve"> udvalgte sociale ydelser, hvor kommunerne har ansvaret, i så lang en periode som muligt. Beskrivelsen skal blandt andet indeholde en figur og en tabel</w:t>
      </w:r>
      <w:r w:rsidRPr="001217E5">
        <w:rPr>
          <w:rFonts w:asciiTheme="minorHAnsi" w:hAnsiTheme="minorHAnsi" w:cstheme="minorHAnsi"/>
        </w:rPr>
        <w:t xml:space="preserve">. </w:t>
      </w:r>
    </w:p>
    <w:p w14:paraId="34A89D69" w14:textId="19092F4B" w:rsidR="00702AEF" w:rsidRDefault="00702AEF" w:rsidP="00702AEF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Definitioner </w:t>
      </w:r>
    </w:p>
    <w:p w14:paraId="106818EE" w14:textId="7DB77AB1" w:rsidR="00702AEF" w:rsidRDefault="00204965" w:rsidP="00702AEF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Realøkonomisk fordeling. </w:t>
      </w:r>
    </w:p>
    <w:p w14:paraId="77A92EB0" w14:textId="7B476075" w:rsidR="00204965" w:rsidRDefault="00204965" w:rsidP="00204965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Begrundelse af valgte overførselsindkomster. Udvælge centrale sociale ydelser </w:t>
      </w:r>
    </w:p>
    <w:p w14:paraId="7C4C5406" w14:textId="4760F545" w:rsidR="00204965" w:rsidRDefault="00204965" w:rsidP="00204965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Delsektorniveau </w:t>
      </w:r>
    </w:p>
    <w:p w14:paraId="7DC8F4CB" w14:textId="413B32F8" w:rsidR="00204965" w:rsidRDefault="00204965" w:rsidP="00204965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Forbehold </w:t>
      </w:r>
    </w:p>
    <w:p w14:paraId="171F33B4" w14:textId="1E00E863" w:rsidR="00204965" w:rsidRDefault="00204965" w:rsidP="00204965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Løbende priser</w:t>
      </w:r>
    </w:p>
    <w:p w14:paraId="6B93EFEA" w14:textId="2C4DE2EA" w:rsidR="00204965" w:rsidRDefault="00204965" w:rsidP="00204965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Foreløbige tal </w:t>
      </w:r>
    </w:p>
    <w:p w14:paraId="4D197104" w14:textId="24092922" w:rsidR="00204965" w:rsidRPr="00204965" w:rsidRDefault="00204965" w:rsidP="00204965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Tallene findes på side 136</w:t>
      </w:r>
    </w:p>
    <w:p w14:paraId="1A4DD84D" w14:textId="0E7BB301" w:rsidR="00702AEF" w:rsidRPr="00204965" w:rsidRDefault="00702AEF" w:rsidP="00702AEF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0E6445">
        <w:rPr>
          <w:rFonts w:asciiTheme="minorHAnsi" w:hAnsiTheme="minorHAnsi" w:cstheme="minorHAnsi"/>
        </w:rPr>
        <w:t>Forklar baggrunden for ovennævnte udvikling i spørgsmål 1 i samme periode, herunder hvilke statslige refusionssatser</w:t>
      </w:r>
      <w:r>
        <w:rPr>
          <w:rFonts w:asciiTheme="minorHAnsi" w:hAnsiTheme="minorHAnsi" w:cstheme="minorHAnsi"/>
        </w:rPr>
        <w:t xml:space="preserve">, </w:t>
      </w:r>
      <w:r w:rsidRPr="000E6445">
        <w:rPr>
          <w:rFonts w:asciiTheme="minorHAnsi" w:hAnsiTheme="minorHAnsi" w:cstheme="minorHAnsi"/>
        </w:rPr>
        <w:t>som gælder for de t</w:t>
      </w:r>
      <w:r>
        <w:rPr>
          <w:rFonts w:asciiTheme="minorHAnsi" w:hAnsiTheme="minorHAnsi" w:cstheme="minorHAnsi"/>
        </w:rPr>
        <w:t>o</w:t>
      </w:r>
      <w:r w:rsidRPr="000E6445">
        <w:rPr>
          <w:rFonts w:asciiTheme="minorHAnsi" w:hAnsiTheme="minorHAnsi" w:cstheme="minorHAnsi"/>
        </w:rPr>
        <w:t xml:space="preserve"> udvalgte sociale ydelser. </w:t>
      </w:r>
    </w:p>
    <w:p w14:paraId="3A8EE2F0" w14:textId="4983B7B7" w:rsidR="00204965" w:rsidRDefault="00204965" w:rsidP="00204965">
      <w:pPr>
        <w:widowControl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Forklaringer</w:t>
      </w:r>
    </w:p>
    <w:p w14:paraId="5D2BD5C6" w14:textId="43A1A8A7" w:rsidR="00204965" w:rsidRDefault="00204965" w:rsidP="00204965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Refusionssatser på side 90 i DOS. </w:t>
      </w:r>
    </w:p>
    <w:p w14:paraId="2BCFE80F" w14:textId="3C3F761C" w:rsidR="00204965" w:rsidRDefault="00204965" w:rsidP="00204965">
      <w:pPr>
        <w:pStyle w:val="ListParagraph"/>
        <w:widowControl w:val="0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Der er kommet flere ældre på folkepension jf. STO. s. 20 </w:t>
      </w:r>
    </w:p>
    <w:p w14:paraId="3FB490AA" w14:textId="047325EB" w:rsidR="0078216F" w:rsidRPr="00204965" w:rsidRDefault="00204965" w:rsidP="002F3233">
      <w:pPr>
        <w:pStyle w:val="ListParagraph"/>
        <w:widowControl w:val="0"/>
        <w:numPr>
          <w:ilvl w:val="0"/>
          <w:numId w:val="5"/>
        </w:numPr>
      </w:pPr>
      <w:r w:rsidRPr="00204965">
        <w:rPr>
          <w:rFonts w:asciiTheme="minorHAnsi" w:hAnsiTheme="minorHAnsi" w:cstheme="minorHAnsi"/>
          <w:bCs/>
        </w:rPr>
        <w:t>Reform 2006 og T</w:t>
      </w:r>
      <w:r>
        <w:rPr>
          <w:rFonts w:asciiTheme="minorHAnsi" w:hAnsiTheme="minorHAnsi" w:cstheme="minorHAnsi"/>
          <w:bCs/>
        </w:rPr>
        <w:t xml:space="preserve">ilbagetrækning 2011 </w:t>
      </w:r>
    </w:p>
    <w:p w14:paraId="3DAB3D61" w14:textId="7B92DB1C" w:rsidR="00204965" w:rsidRPr="00204965" w:rsidRDefault="00204965" w:rsidP="00204965">
      <w:pPr>
        <w:pStyle w:val="ListParagraph"/>
        <w:widowControl w:val="0"/>
        <w:numPr>
          <w:ilvl w:val="0"/>
          <w:numId w:val="5"/>
        </w:numPr>
      </w:pPr>
      <w:r>
        <w:rPr>
          <w:rFonts w:asciiTheme="minorHAnsi" w:hAnsiTheme="minorHAnsi" w:cstheme="minorHAnsi"/>
          <w:bCs/>
        </w:rPr>
        <w:t xml:space="preserve">Sammenhængen mellem BNP-udvikling og automatiske stabilisatorer </w:t>
      </w:r>
    </w:p>
    <w:p w14:paraId="4BECB23D" w14:textId="4C437E45" w:rsidR="00204965" w:rsidRPr="00D33E80" w:rsidRDefault="00204965" w:rsidP="00204965">
      <w:pPr>
        <w:pStyle w:val="ListParagraph"/>
        <w:widowControl w:val="0"/>
        <w:numPr>
          <w:ilvl w:val="0"/>
          <w:numId w:val="5"/>
        </w:numPr>
      </w:pPr>
      <w:r>
        <w:rPr>
          <w:rFonts w:asciiTheme="minorHAnsi" w:hAnsiTheme="minorHAnsi" w:cstheme="minorHAnsi"/>
          <w:bCs/>
        </w:rPr>
        <w:t xml:space="preserve">Se evt. På ledigheden RAM. </w:t>
      </w:r>
    </w:p>
    <w:sectPr w:rsidR="00204965" w:rsidRPr="00D3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48D1"/>
    <w:multiLevelType w:val="hybridMultilevel"/>
    <w:tmpl w:val="F1E2EB28"/>
    <w:lvl w:ilvl="0" w:tplc="632CF7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A54E9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F42F99"/>
    <w:multiLevelType w:val="hybridMultilevel"/>
    <w:tmpl w:val="59020C24"/>
    <w:lvl w:ilvl="0" w:tplc="0C0ED1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2C4A89"/>
    <w:multiLevelType w:val="hybridMultilevel"/>
    <w:tmpl w:val="59020C24"/>
    <w:lvl w:ilvl="0" w:tplc="0C0ED1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5C73D6"/>
    <w:multiLevelType w:val="multilevel"/>
    <w:tmpl w:val="418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C4015E"/>
    <w:multiLevelType w:val="hybridMultilevel"/>
    <w:tmpl w:val="E7F896BA"/>
    <w:lvl w:ilvl="0" w:tplc="7C2041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27F7C"/>
    <w:multiLevelType w:val="multilevel"/>
    <w:tmpl w:val="1404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412A51"/>
    <w:multiLevelType w:val="multilevel"/>
    <w:tmpl w:val="532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F2320D"/>
    <w:multiLevelType w:val="multilevel"/>
    <w:tmpl w:val="A3F6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EF"/>
    <w:rsid w:val="00040CF8"/>
    <w:rsid w:val="000510D1"/>
    <w:rsid w:val="00051614"/>
    <w:rsid w:val="00093EC7"/>
    <w:rsid w:val="000B5192"/>
    <w:rsid w:val="001C190A"/>
    <w:rsid w:val="00204965"/>
    <w:rsid w:val="00355336"/>
    <w:rsid w:val="00357A3B"/>
    <w:rsid w:val="00391317"/>
    <w:rsid w:val="00460B5D"/>
    <w:rsid w:val="005E35BA"/>
    <w:rsid w:val="00702AEF"/>
    <w:rsid w:val="00717769"/>
    <w:rsid w:val="0078216F"/>
    <w:rsid w:val="00790FBA"/>
    <w:rsid w:val="007B0D1E"/>
    <w:rsid w:val="0088641F"/>
    <w:rsid w:val="00892233"/>
    <w:rsid w:val="009025B0"/>
    <w:rsid w:val="009716F3"/>
    <w:rsid w:val="009948B7"/>
    <w:rsid w:val="009C6FA6"/>
    <w:rsid w:val="00AA437F"/>
    <w:rsid w:val="00B548AB"/>
    <w:rsid w:val="00B832A0"/>
    <w:rsid w:val="00BC564B"/>
    <w:rsid w:val="00BD2E1F"/>
    <w:rsid w:val="00C04A68"/>
    <w:rsid w:val="00C85F85"/>
    <w:rsid w:val="00D33E80"/>
    <w:rsid w:val="00D609ED"/>
    <w:rsid w:val="00D752AD"/>
    <w:rsid w:val="00DD2911"/>
    <w:rsid w:val="00E43501"/>
    <w:rsid w:val="00E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BFD8D"/>
  <w15:chartTrackingRefBased/>
  <w15:docId w15:val="{003BC0CA-BD59-5345-8862-33FC52EA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EF"/>
    <w:pPr>
      <w:tabs>
        <w:tab w:val="left" w:pos="454"/>
      </w:tabs>
      <w:spacing w:after="160" w:line="320" w:lineRule="exact"/>
    </w:pPr>
    <w:rPr>
      <w:rFonts w:ascii="Times New Roman" w:eastAsia="Times New Roman" w:hAnsi="Times New Roman" w:cs="Times New Roman"/>
      <w:szCs w:val="20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2AEF"/>
    <w:pPr>
      <w:tabs>
        <w:tab w:val="clear" w:pos="454"/>
      </w:tabs>
      <w:spacing w:before="100" w:beforeAutospacing="1" w:after="100" w:afterAutospacing="1" w:line="240" w:lineRule="auto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1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</cp:revision>
  <dcterms:created xsi:type="dcterms:W3CDTF">2021-06-21T15:48:00Z</dcterms:created>
  <dcterms:modified xsi:type="dcterms:W3CDTF">2021-06-21T15:48:00Z</dcterms:modified>
</cp:coreProperties>
</file>