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88F" w:rsidRPr="0051788F" w:rsidRDefault="0051788F" w:rsidP="0051788F">
      <w:pPr>
        <w:spacing w:after="6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60"/>
          <w:szCs w:val="60"/>
          <w:lang w:eastAsia="da-DK"/>
        </w:rPr>
        <w:t>Den Offentlige Sektor </w:t>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De klassiske statsopgaver: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Voldsmonopol:</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Staten har ret til at yde vold. De besidder altså muligheden for at tvinge folk til at gøre ting mod deres vilje - det være sig opholdsforbud, opbrud af folkemængder (voldelige demonstrationer), anholdelser mv.</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Ekspropriations-monopol:</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Staten har ret til at ekspropriere din ejendom. Det er stadfæstet i Grundloven (§ 41 stk. 3, 42 stk. 6 og 73 stk. 2 og 3). Der skal fastsættes en kompensation. Bliver bl.a. anvendt når der skal bygges nye motorveje, anlægges vindmølleparker eller hvis man ønsker at slå alle mink ihjel.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Relationer til andre lande/stater: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Det er staten som varetager opretholdelsen af ambassader og de specifikke relationer til fremmede stater gennem udenrigsministeriet. Enkelte danskere eller grupper, kan ikke tegne relationer gældende for staten Danmark.</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Justitsvæsen (retssikkerhed):</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Det er statens opgave at opretholde et juridisk system bestående af domstole, vedligeholde lovene samt at sikre at folk bliver dømt. Staten kan vælge at føre sager mod enkeltindivider, firmaer mm., ligesom staten vidst nok skal stille en forsvarer til rådighed, hvis en anklaget ikke selv har en. (Spørg en jurist)</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Infrastruktur/transport:</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Staten varetager ofte produktionen og vedligeholdelsen af en række offentlige goder. Det er primært infrastruktur, hvor staten bl.a. bygger motorveje, statsveje, landeveje mm. ligesom lufthavne, flyvestationer. Herudover kan nævnes kloaksystemer, vandledninger, elektricitet og varme. Man kunne også tilføje kriseberedskab som hospitaler (skadestuer) og beredskabsstyrelsen herunder brandmænd osv.</w:t>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Velfærdsmodeller:</w:t>
      </w:r>
    </w:p>
    <w:p w:rsidR="0051788F" w:rsidRPr="0051788F" w:rsidRDefault="0051788F" w:rsidP="0051788F">
      <w:pPr>
        <w:spacing w:after="0" w:line="240" w:lineRule="auto"/>
        <w:jc w:val="center"/>
        <w:rPr>
          <w:rFonts w:ascii="Times New Roman" w:eastAsia="Times New Roman" w:hAnsi="Times New Roman" w:cs="Times New Roman"/>
          <w:sz w:val="24"/>
          <w:szCs w:val="24"/>
          <w:lang w:eastAsia="da-DK"/>
        </w:rPr>
      </w:pPr>
      <w:r w:rsidRPr="0051788F">
        <w:rPr>
          <w:rFonts w:ascii="Times New Roman" w:eastAsia="Times New Roman" w:hAnsi="Times New Roman" w:cs="Times New Roman"/>
          <w:noProof/>
          <w:color w:val="000000"/>
          <w:szCs w:val="22"/>
          <w:bdr w:val="none" w:sz="0" w:space="0" w:color="auto" w:frame="1"/>
          <w:lang w:eastAsia="da-DK" w:bidi="ar-SA"/>
        </w:rPr>
        <w:drawing>
          <wp:inline distT="0" distB="0" distL="0" distR="0">
            <wp:extent cx="4095769" cy="2053193"/>
            <wp:effectExtent l="0" t="0" r="0" b="4445"/>
            <wp:docPr id="4" name="Billede 4"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bord&#10;&#10;Automatisk genereret beskrivels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20444" cy="2065562"/>
                    </a:xfrm>
                    <a:prstGeom prst="rect">
                      <a:avLst/>
                    </a:prstGeom>
                    <a:noFill/>
                    <a:ln>
                      <a:noFill/>
                    </a:ln>
                  </pic:spPr>
                </pic:pic>
              </a:graphicData>
            </a:graphic>
          </wp:inline>
        </w:drawing>
      </w:r>
    </w:p>
    <w:p w:rsidR="0051788F" w:rsidRPr="0051788F" w:rsidRDefault="0051788F" w:rsidP="0051788F">
      <w:pPr>
        <w:numPr>
          <w:ilvl w:val="0"/>
          <w:numId w:val="1"/>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b/>
          <w:bCs/>
          <w:color w:val="000000"/>
          <w:sz w:val="24"/>
          <w:szCs w:val="24"/>
          <w:lang w:eastAsia="da-DK"/>
        </w:rPr>
        <w:lastRenderedPageBreak/>
        <w:t>Den skandinaviske (universal</w:t>
      </w:r>
      <w:r w:rsidRPr="0051788F">
        <w:rPr>
          <w:rFonts w:ascii="Times New Roman" w:eastAsia="Times New Roman" w:hAnsi="Times New Roman" w:cs="Times New Roman"/>
          <w:color w:val="000000"/>
          <w:sz w:val="24"/>
          <w:szCs w:val="24"/>
          <w:lang w:eastAsia="da-DK"/>
        </w:rPr>
        <w:t>) - Denne form vægter en omfattende stat. Karakteriseret ved en stor offentlig sektor der varetager mange velfærdsopgaver. Her i blandt uddannelse, sundhed, arbejdsløshed osv. Modellen vægter solidaritet højt, og scorer derfor lavt i ulighedsmål. Har/kan man ikke arbejde vil statens sikkerhedsnet sikre, at borgeren ikke falder ud af samfundet ved økonomisk understøttelse. Norge, Danmark og Sverige. </w:t>
      </w:r>
    </w:p>
    <w:p w:rsidR="0051788F" w:rsidRPr="0051788F" w:rsidRDefault="0051788F" w:rsidP="0051788F">
      <w:pPr>
        <w:numPr>
          <w:ilvl w:val="0"/>
          <w:numId w:val="1"/>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b/>
          <w:bCs/>
          <w:color w:val="000000"/>
          <w:sz w:val="24"/>
          <w:szCs w:val="24"/>
          <w:lang w:eastAsia="da-DK"/>
        </w:rPr>
        <w:t>Den Angelsaksiske (residual)</w:t>
      </w:r>
      <w:r w:rsidRPr="0051788F">
        <w:rPr>
          <w:rFonts w:ascii="Times New Roman" w:eastAsia="Times New Roman" w:hAnsi="Times New Roman" w:cs="Times New Roman"/>
          <w:color w:val="000000"/>
          <w:sz w:val="24"/>
          <w:szCs w:val="24"/>
          <w:lang w:eastAsia="da-DK"/>
        </w:rPr>
        <w:t xml:space="preserve"> - Denne form vægter en minimal stat. Karakteriseret ved en minimal offentlig sektor, der forventer markedet påtager sig størstedelen af velfærdsopgaverne. Her i blandt voksenuddannelse, sundhed. Vægter efterspørgsel-udbud højt, hvilket sikrer markedet er en central del af modellen. Oftest rigere i BNP i forhold til residualmodellen, mens også større ulighed målt vha. Gini-koefficienten. Har/kan man ikke arbejder afhænger understøttelsen af egen opsparing og privatforsikring. Storbritannien, USA</w:t>
      </w:r>
    </w:p>
    <w:p w:rsidR="0051788F" w:rsidRPr="0051788F" w:rsidRDefault="0051788F" w:rsidP="0051788F">
      <w:pPr>
        <w:numPr>
          <w:ilvl w:val="0"/>
          <w:numId w:val="1"/>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b/>
          <w:bCs/>
          <w:color w:val="000000"/>
          <w:sz w:val="24"/>
          <w:szCs w:val="24"/>
          <w:lang w:eastAsia="da-DK"/>
        </w:rPr>
        <w:t>Den Kontinentale (selektiv)</w:t>
      </w:r>
      <w:r w:rsidRPr="0051788F">
        <w:rPr>
          <w:rFonts w:ascii="Times New Roman" w:eastAsia="Times New Roman" w:hAnsi="Times New Roman" w:cs="Times New Roman"/>
          <w:color w:val="000000"/>
          <w:sz w:val="24"/>
          <w:szCs w:val="24"/>
          <w:lang w:eastAsia="da-DK"/>
        </w:rPr>
        <w:t xml:space="preserve"> - Denne form vægter familien højt, men efterfulgt af staten. Det forventes at borgeren selv sørger for forsikring, pension og uddannelse. De er ikke offentlig forsikret gennem staten, men derimod selvbetalende til statsejede selskaber. Har/kan man ikke arbejder afhænger understøttelsen af egen opsparing og privatforsikring. </w:t>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Definition af den offentlige sektor: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Den offentlige sektor udgøres af hhv. ‘offentlig forvaltning og service’ og ‘selskabssektoren’. Den offentlige forvaltning og service opdeles i staten, kommunerne, regionerne og de sociale kasser og fonde. Disse udgør tilsammen produktionen af ikke-markedsmæssige tjenester. De finansieres af skatter og tjenesterne stilles helt eller delvist gratis til rådighed. I selskabs-sektoren har man offentlige selskabslignende virksomheder og offentlige selskaber. De selskabslignende offentlige selskaber er subsidieret af staten og opererer ikke på markedet, men har alligevel en selskabslignende struktur. De offentlige selskaber er selskaber delvist ejet af staten, som opererer på markedet og sælger en ydelse/vare som kan købes.</w:t>
      </w:r>
    </w:p>
    <w:p w:rsidR="0051788F" w:rsidRPr="0051788F" w:rsidRDefault="0051788F" w:rsidP="0051788F">
      <w:pPr>
        <w:spacing w:after="0" w:line="240" w:lineRule="auto"/>
        <w:jc w:val="center"/>
        <w:rPr>
          <w:rFonts w:ascii="Times New Roman" w:eastAsia="Times New Roman" w:hAnsi="Times New Roman" w:cs="Times New Roman"/>
          <w:sz w:val="24"/>
          <w:szCs w:val="24"/>
          <w:lang w:eastAsia="da-DK"/>
        </w:rPr>
      </w:pPr>
      <w:r w:rsidRPr="0051788F">
        <w:rPr>
          <w:rFonts w:ascii="Times New Roman" w:eastAsia="Times New Roman" w:hAnsi="Times New Roman" w:cs="Times New Roman"/>
          <w:noProof/>
          <w:color w:val="000000"/>
          <w:sz w:val="24"/>
          <w:szCs w:val="24"/>
          <w:bdr w:val="none" w:sz="0" w:space="0" w:color="auto" w:frame="1"/>
          <w:lang w:eastAsia="da-DK" w:bidi="ar-SA"/>
        </w:rPr>
        <w:drawing>
          <wp:inline distT="0" distB="0" distL="0" distR="0">
            <wp:extent cx="6111054" cy="3691259"/>
            <wp:effectExtent l="0" t="0" r="4445"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20" cy="3696735"/>
                    </a:xfrm>
                    <a:prstGeom prst="rect">
                      <a:avLst/>
                    </a:prstGeom>
                    <a:noFill/>
                    <a:ln>
                      <a:noFill/>
                    </a:ln>
                  </pic:spPr>
                </pic:pic>
              </a:graphicData>
            </a:graphic>
          </wp:inline>
        </w:drawing>
      </w:r>
    </w:p>
    <w:p w:rsidR="0051788F" w:rsidRPr="0051788F" w:rsidRDefault="0051788F" w:rsidP="0051788F">
      <w:pPr>
        <w:numPr>
          <w:ilvl w:val="0"/>
          <w:numId w:val="2"/>
        </w:numPr>
        <w:spacing w:after="0" w:line="240" w:lineRule="auto"/>
        <w:textAlignment w:val="baseline"/>
        <w:rPr>
          <w:rFonts w:ascii="Times New Roman" w:eastAsia="Times New Roman" w:hAnsi="Times New Roman" w:cs="Times New Roman"/>
          <w:b/>
          <w:bCs/>
          <w:color w:val="000000"/>
          <w:sz w:val="24"/>
          <w:szCs w:val="24"/>
          <w:lang w:eastAsia="da-DK"/>
        </w:rPr>
      </w:pPr>
      <w:r w:rsidRPr="0051788F">
        <w:rPr>
          <w:rFonts w:ascii="Times New Roman" w:eastAsia="Times New Roman" w:hAnsi="Times New Roman" w:cs="Times New Roman"/>
          <w:b/>
          <w:bCs/>
          <w:color w:val="000000"/>
          <w:sz w:val="24"/>
          <w:szCs w:val="24"/>
          <w:lang w:eastAsia="da-DK"/>
        </w:rPr>
        <w:lastRenderedPageBreak/>
        <w:t>Realøkonomisk fordeling</w:t>
      </w:r>
    </w:p>
    <w:p w:rsidR="0051788F" w:rsidRPr="0051788F" w:rsidRDefault="0051788F" w:rsidP="0051788F">
      <w:pPr>
        <w:spacing w:after="0" w:line="240" w:lineRule="auto"/>
        <w:ind w:left="720"/>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202124"/>
          <w:sz w:val="24"/>
          <w:szCs w:val="24"/>
          <w:shd w:val="clear" w:color="auto" w:fill="FFFFFF"/>
          <w:lang w:eastAsia="da-DK"/>
        </w:rPr>
        <w:t>Den realøkonomiske fordeling viser de offentlige udgifter opgjort på aktiviteter. I den realøkonomiske fordeling adskilles udgifterne mellem forbrug, løbende overførsler og kapitaludgifter. Den realøkonomiske fordeling viser således, om der er tale om forbrug i produktionen, omfordeling eller investeringer.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numPr>
          <w:ilvl w:val="0"/>
          <w:numId w:val="3"/>
        </w:numPr>
        <w:spacing w:after="0" w:line="240" w:lineRule="auto"/>
        <w:textAlignment w:val="baseline"/>
        <w:rPr>
          <w:rFonts w:ascii="Times New Roman" w:eastAsia="Times New Roman" w:hAnsi="Times New Roman" w:cs="Times New Roman"/>
          <w:b/>
          <w:bCs/>
          <w:color w:val="000000"/>
          <w:sz w:val="24"/>
          <w:szCs w:val="24"/>
          <w:lang w:eastAsia="da-DK"/>
        </w:rPr>
      </w:pPr>
      <w:r w:rsidRPr="0051788F">
        <w:rPr>
          <w:rFonts w:ascii="Times New Roman" w:eastAsia="Times New Roman" w:hAnsi="Times New Roman" w:cs="Times New Roman"/>
          <w:b/>
          <w:bCs/>
          <w:color w:val="000000"/>
          <w:sz w:val="24"/>
          <w:szCs w:val="24"/>
          <w:lang w:eastAsia="da-DK"/>
        </w:rPr>
        <w:t>Funktionel fordeling</w:t>
      </w:r>
    </w:p>
    <w:p w:rsidR="0051788F" w:rsidRPr="0051788F" w:rsidRDefault="0051788F" w:rsidP="0051788F">
      <w:pPr>
        <w:spacing w:after="0" w:line="240" w:lineRule="auto"/>
        <w:ind w:left="720"/>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202124"/>
          <w:sz w:val="24"/>
          <w:szCs w:val="24"/>
          <w:shd w:val="clear" w:color="auto" w:fill="FFFFFF"/>
          <w:lang w:eastAsia="da-DK"/>
        </w:rPr>
        <w:t>I den funktionelle fordeling adskilles de offentlige udgifter efter formål. Den funktionelle fordeling giver et overblik over det indbyrdes størrelsesforhold mellem de enkelte udgiftsområder som fx sundhed, forsvar, undervisning mv.</w:t>
      </w:r>
      <w:r w:rsidRPr="0051788F">
        <w:rPr>
          <w:rFonts w:ascii="Times New Roman" w:eastAsia="Times New Roman" w:hAnsi="Times New Roman" w:cs="Times New Roman"/>
          <w:sz w:val="24"/>
          <w:szCs w:val="24"/>
          <w:lang w:eastAsia="da-DK"/>
        </w:rPr>
        <w:br/>
      </w:r>
    </w:p>
    <w:p w:rsidR="0051788F" w:rsidRPr="0051788F" w:rsidRDefault="0051788F" w:rsidP="0051788F">
      <w:pPr>
        <w:numPr>
          <w:ilvl w:val="0"/>
          <w:numId w:val="4"/>
        </w:numPr>
        <w:spacing w:after="0" w:line="240" w:lineRule="auto"/>
        <w:textAlignment w:val="baseline"/>
        <w:rPr>
          <w:rFonts w:ascii="Times New Roman" w:eastAsia="Times New Roman" w:hAnsi="Times New Roman" w:cs="Times New Roman"/>
          <w:b/>
          <w:bCs/>
          <w:color w:val="000000"/>
          <w:sz w:val="24"/>
          <w:szCs w:val="24"/>
          <w:lang w:eastAsia="da-DK"/>
        </w:rPr>
      </w:pPr>
      <w:r w:rsidRPr="0051788F">
        <w:rPr>
          <w:rFonts w:ascii="Times New Roman" w:eastAsia="Times New Roman" w:hAnsi="Times New Roman" w:cs="Times New Roman"/>
          <w:b/>
          <w:bCs/>
          <w:color w:val="000000"/>
          <w:sz w:val="24"/>
          <w:szCs w:val="24"/>
          <w:lang w:eastAsia="da-DK"/>
        </w:rPr>
        <w:t>Delsektor (opgave/byrde)</w:t>
      </w:r>
    </w:p>
    <w:p w:rsidR="0051788F" w:rsidRPr="0051788F" w:rsidRDefault="0051788F" w:rsidP="0051788F">
      <w:pPr>
        <w:spacing w:after="0" w:line="240" w:lineRule="auto"/>
        <w:ind w:left="720"/>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Offentlig forvaltning og service kan underopdeles i delsektorerne kommuner, regioner, stat samt de sociale kasser og fonde. I Danmark sker der en høj grad af arbejdsdeling mellem de enkelte delsektorer. Denne arbejdsdeling kan beskrives ved at udgifterne fordeles efter opgave og byrde. Opgavefordelingen viser udgifterne fordelt efter den sektor, der varetager opgaverne i forhold til borgerne. Byrdefordelingen viser den sektor, der finansierer udgifterne.</w:t>
      </w:r>
    </w:p>
    <w:p w:rsidR="0051788F" w:rsidRPr="0051788F" w:rsidRDefault="0051788F" w:rsidP="0051788F">
      <w:pPr>
        <w:spacing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sz w:val="24"/>
          <w:szCs w:val="24"/>
          <w:lang w:eastAsia="da-DK"/>
        </w:rPr>
        <w:br/>
      </w:r>
      <w:r w:rsidRPr="0051788F">
        <w:rPr>
          <w:rFonts w:ascii="Times New Roman" w:eastAsia="Times New Roman" w:hAnsi="Times New Roman" w:cs="Times New Roman"/>
          <w:color w:val="000000"/>
          <w:kern w:val="36"/>
          <w:sz w:val="40"/>
          <w:szCs w:val="40"/>
          <w:lang w:eastAsia="da-DK"/>
        </w:rPr>
        <w:t>Offentlige sektors 3 hovedpolitiske målsætninger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Den offentlige sektor har overordnet 3 hoved-politiske målsætninger:</w:t>
      </w:r>
    </w:p>
    <w:p w:rsidR="0051788F" w:rsidRPr="0051788F" w:rsidRDefault="0051788F" w:rsidP="0051788F">
      <w:pPr>
        <w:numPr>
          <w:ilvl w:val="0"/>
          <w:numId w:val="5"/>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Fordeling</w:t>
      </w:r>
    </w:p>
    <w:p w:rsidR="0051788F" w:rsidRPr="0051788F" w:rsidRDefault="0051788F" w:rsidP="0051788F">
      <w:pPr>
        <w:numPr>
          <w:ilvl w:val="0"/>
          <w:numId w:val="5"/>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Stabilisering</w:t>
      </w:r>
    </w:p>
    <w:p w:rsidR="0051788F" w:rsidRPr="0051788F" w:rsidRDefault="0051788F" w:rsidP="0051788F">
      <w:pPr>
        <w:numPr>
          <w:ilvl w:val="0"/>
          <w:numId w:val="5"/>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Allokering</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color w:val="000000"/>
          <w:sz w:val="24"/>
          <w:szCs w:val="24"/>
          <w:lang w:eastAsia="da-DK"/>
        </w:rPr>
        <w:t>Den fordelingsmæssige hovedmålsætning:</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Staten varetager som regel opgaven med at skabe en ‘retfærdig’ fordeling af velstanden i samfundet. I økonomi arbejder man efter at maksimere velstand, men også at velstanden skal fordeles på en måde, som af de fleste opfattes retfærdigt eller optimalt - ellers kan der udbryde uroligheder, eller det kan have andre konsekvenser for stigmatisering, revolutioner mv. hvis det går rigtig galt.</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Dette foregår som regel som en omfordeling fra rig til fattig, hvilket udover at ske gennem skattesystemet, som kan være enten fladt eller progressivt, ellers kan det være direkte kontante overførsler til fattige (arbejdsløse), og til sidst kan det ske gennem ‘gratisydelser’ som staten stiller til rådighed for nogle eller alle statens borgere, som de ellers havde skulle betale for.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color w:val="000000"/>
          <w:sz w:val="24"/>
          <w:szCs w:val="24"/>
          <w:lang w:eastAsia="da-DK"/>
        </w:rPr>
        <w:t>Den stabiliseringsmæssige hovedmålsætning:</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Staten varetager udover opgaven om omfordeling også en opgave, der går på en stabilisering af den danske økonomi. Den stabiliserende hovedpolitiske målsætning går på, at staten skal forsøge at stabilisere de økonomiske forhold i landet. Altså skal staten i så vidt muligt omfang, uden at gå på kompromis med andre målsætninger, forsøge at stabilisere konjunkturer og økonomien generelt. Det er betragteligt mere ønskeligt at have små udsving i økonomien frem for store. Dette af flere årsager.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color w:val="000000"/>
          <w:sz w:val="24"/>
          <w:szCs w:val="24"/>
          <w:lang w:eastAsia="da-DK"/>
        </w:rPr>
        <w:t>Den allokeringsmæssige hovedmålsætning:</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 xml:space="preserve">Der ligger flere ting under allokerings-målsætningen. </w:t>
      </w:r>
      <w:r w:rsidRPr="0051788F">
        <w:rPr>
          <w:rFonts w:ascii="Times New Roman" w:eastAsia="Times New Roman" w:hAnsi="Times New Roman" w:cs="Times New Roman"/>
          <w:color w:val="000000"/>
          <w:sz w:val="24"/>
          <w:szCs w:val="24"/>
          <w:lang w:eastAsia="da-DK"/>
        </w:rPr>
        <w:br/>
        <w:t xml:space="preserve">Først og fremmest pågår der løbende en diskussion omkring statens ansvar for at sikre en optimal </w:t>
      </w:r>
      <w:r w:rsidRPr="0051788F">
        <w:rPr>
          <w:rFonts w:ascii="Times New Roman" w:eastAsia="Times New Roman" w:hAnsi="Times New Roman" w:cs="Times New Roman"/>
          <w:color w:val="000000"/>
          <w:sz w:val="24"/>
          <w:szCs w:val="24"/>
          <w:lang w:eastAsia="da-DK"/>
        </w:rPr>
        <w:lastRenderedPageBreak/>
        <w:t>allokering af velstanden over tid gennem pensionsordninger, feriepenge-konto mv. Der er argumenter for, at individer ikke altid selv sparer optimalt op, hvilket pålægger staten en fremtidig udgift i form af overførsler, mens andre mener, at individer i høj grad selv er i stand til at foretage en fornuftig tidsmæssig allokering.</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 xml:space="preserve">Den anden diskussion handler om naturlige monopoler. Nogle goder lader sig ikke kommercialisere på et marked, disse kaldes ofte naturlige monopoler, og løses ved at give en eller flere virksomheder hhv. monopol, patent eller lignende. Det kan være </w:t>
      </w:r>
      <w:proofErr w:type="spellStart"/>
      <w:r w:rsidRPr="0051788F">
        <w:rPr>
          <w:rFonts w:ascii="Times New Roman" w:eastAsia="Times New Roman" w:hAnsi="Times New Roman" w:cs="Times New Roman"/>
          <w:color w:val="000000"/>
          <w:sz w:val="24"/>
          <w:szCs w:val="24"/>
          <w:lang w:eastAsia="da-DK"/>
        </w:rPr>
        <w:t>bro-</w:t>
      </w:r>
      <w:proofErr w:type="spellEnd"/>
      <w:r w:rsidRPr="0051788F">
        <w:rPr>
          <w:rFonts w:ascii="Times New Roman" w:eastAsia="Times New Roman" w:hAnsi="Times New Roman" w:cs="Times New Roman"/>
          <w:color w:val="000000"/>
          <w:sz w:val="24"/>
          <w:szCs w:val="24"/>
          <w:lang w:eastAsia="da-DK"/>
        </w:rPr>
        <w:t xml:space="preserve"> eller færge-forbindelser, hvor de store </w:t>
      </w:r>
      <w:proofErr w:type="spellStart"/>
      <w:r w:rsidRPr="0051788F">
        <w:rPr>
          <w:rFonts w:ascii="Times New Roman" w:eastAsia="Times New Roman" w:hAnsi="Times New Roman" w:cs="Times New Roman"/>
          <w:color w:val="000000"/>
          <w:sz w:val="24"/>
          <w:szCs w:val="24"/>
          <w:lang w:eastAsia="da-DK"/>
        </w:rPr>
        <w:t>quasifaste</w:t>
      </w:r>
      <w:proofErr w:type="spellEnd"/>
      <w:r w:rsidRPr="0051788F">
        <w:rPr>
          <w:rFonts w:ascii="Times New Roman" w:eastAsia="Times New Roman" w:hAnsi="Times New Roman" w:cs="Times New Roman"/>
          <w:color w:val="000000"/>
          <w:sz w:val="24"/>
          <w:szCs w:val="24"/>
          <w:lang w:eastAsia="da-DK"/>
        </w:rPr>
        <w:t xml:space="preserve"> omkostninger gør det </w:t>
      </w:r>
      <w:proofErr w:type="spellStart"/>
      <w:r w:rsidRPr="0051788F">
        <w:rPr>
          <w:rFonts w:ascii="Times New Roman" w:eastAsia="Times New Roman" w:hAnsi="Times New Roman" w:cs="Times New Roman"/>
          <w:color w:val="000000"/>
          <w:sz w:val="24"/>
          <w:szCs w:val="24"/>
          <w:lang w:eastAsia="da-DK"/>
        </w:rPr>
        <w:t>inefficient</w:t>
      </w:r>
      <w:proofErr w:type="spellEnd"/>
      <w:r w:rsidRPr="0051788F">
        <w:rPr>
          <w:rFonts w:ascii="Times New Roman" w:eastAsia="Times New Roman" w:hAnsi="Times New Roman" w:cs="Times New Roman"/>
          <w:color w:val="000000"/>
          <w:sz w:val="24"/>
          <w:szCs w:val="24"/>
          <w:lang w:eastAsia="da-DK"/>
        </w:rPr>
        <w:t xml:space="preserve"> at have mere end én producent. Behovet for patenter opstår ligeledes pba. behov for at producenterne skal kunne dække </w:t>
      </w:r>
      <w:proofErr w:type="spellStart"/>
      <w:r w:rsidRPr="0051788F">
        <w:rPr>
          <w:rFonts w:ascii="Times New Roman" w:eastAsia="Times New Roman" w:hAnsi="Times New Roman" w:cs="Times New Roman"/>
          <w:color w:val="000000"/>
          <w:sz w:val="24"/>
          <w:szCs w:val="24"/>
          <w:lang w:eastAsia="da-DK"/>
        </w:rPr>
        <w:t>quasifaste</w:t>
      </w:r>
      <w:proofErr w:type="spellEnd"/>
      <w:r w:rsidRPr="0051788F">
        <w:rPr>
          <w:rFonts w:ascii="Times New Roman" w:eastAsia="Times New Roman" w:hAnsi="Times New Roman" w:cs="Times New Roman"/>
          <w:color w:val="000000"/>
          <w:sz w:val="24"/>
          <w:szCs w:val="24"/>
          <w:lang w:eastAsia="da-DK"/>
        </w:rPr>
        <w:t xml:space="preserve"> omkostninger, i særlig grad inden for medicinalindustrien eller forskning.</w:t>
      </w:r>
      <w:r w:rsidRPr="0051788F">
        <w:rPr>
          <w:rFonts w:ascii="Times New Roman" w:eastAsia="Times New Roman" w:hAnsi="Times New Roman" w:cs="Times New Roman"/>
          <w:color w:val="000000"/>
          <w:sz w:val="24"/>
          <w:szCs w:val="24"/>
          <w:lang w:eastAsia="da-DK"/>
        </w:rPr>
        <w:br/>
        <w:t>I begge tilfælde søger staten at effektivisere økonomien ved at sikre en mere optimal allokering af ressourcerne eller maksimere velfærd ved at sikre en produceret mængde tæt på eller lig optimum.</w:t>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Udlicitering</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Man skelner mellem tre forskellige roller:</w:t>
      </w:r>
    </w:p>
    <w:p w:rsidR="0051788F" w:rsidRPr="0051788F" w:rsidRDefault="0051788F" w:rsidP="0051788F">
      <w:pPr>
        <w:numPr>
          <w:ilvl w:val="0"/>
          <w:numId w:val="6"/>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Arrangøren = hvem definerer ydelsen?</w:t>
      </w:r>
    </w:p>
    <w:p w:rsidR="0051788F" w:rsidRPr="0051788F" w:rsidRDefault="0051788F" w:rsidP="0051788F">
      <w:pPr>
        <w:numPr>
          <w:ilvl w:val="0"/>
          <w:numId w:val="6"/>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Producenten = hvem producerer ydelsen?</w:t>
      </w:r>
    </w:p>
    <w:p w:rsidR="0051788F" w:rsidRPr="0051788F" w:rsidRDefault="0051788F" w:rsidP="0051788F">
      <w:pPr>
        <w:numPr>
          <w:ilvl w:val="0"/>
          <w:numId w:val="6"/>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Finansiering = hvem betaler for ydelsen?</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 xml:space="preserve">Når man udliciterer en offentlige opgave til selskabssektoren, så er det </w:t>
      </w:r>
      <w:r w:rsidRPr="0051788F">
        <w:rPr>
          <w:rFonts w:ascii="Times New Roman" w:eastAsia="Times New Roman" w:hAnsi="Times New Roman" w:cs="Times New Roman"/>
          <w:color w:val="000000"/>
          <w:sz w:val="24"/>
          <w:szCs w:val="24"/>
          <w:u w:val="single"/>
          <w:lang w:eastAsia="da-DK"/>
        </w:rPr>
        <w:t>altid</w:t>
      </w:r>
      <w:r w:rsidRPr="0051788F">
        <w:rPr>
          <w:rFonts w:ascii="Times New Roman" w:eastAsia="Times New Roman" w:hAnsi="Times New Roman" w:cs="Times New Roman"/>
          <w:color w:val="000000"/>
          <w:sz w:val="24"/>
          <w:szCs w:val="24"/>
          <w:lang w:eastAsia="da-DK"/>
        </w:rPr>
        <w:t xml:space="preserve"> producentrollen man udliciterer - </w:t>
      </w:r>
      <w:r w:rsidRPr="0051788F">
        <w:rPr>
          <w:rFonts w:ascii="Times New Roman" w:eastAsia="Times New Roman" w:hAnsi="Times New Roman" w:cs="Times New Roman"/>
          <w:color w:val="000000"/>
          <w:sz w:val="24"/>
          <w:szCs w:val="24"/>
          <w:u w:val="single"/>
          <w:lang w:eastAsia="da-DK"/>
        </w:rPr>
        <w:t>aldrig</w:t>
      </w:r>
      <w:r w:rsidRPr="0051788F">
        <w:rPr>
          <w:rFonts w:ascii="Times New Roman" w:eastAsia="Times New Roman" w:hAnsi="Times New Roman" w:cs="Times New Roman"/>
          <w:color w:val="000000"/>
          <w:sz w:val="24"/>
          <w:szCs w:val="24"/>
          <w:lang w:eastAsia="da-DK"/>
        </w:rPr>
        <w:t xml:space="preserve"> arrangør- eller finansierings-rollen!</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Når man privatiserer, er det selve ejerforholdet man afgiver, og dermed både arrangør-, producent- og finansierings-rollen.</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Nationale politiske og administrative niveauer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Meget af det her står i Grundloven.</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numPr>
          <w:ilvl w:val="0"/>
          <w:numId w:val="7"/>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Folketinget er den dømmende magt</w:t>
      </w:r>
    </w:p>
    <w:p w:rsidR="0051788F" w:rsidRPr="0051788F" w:rsidRDefault="0051788F" w:rsidP="0051788F">
      <w:pPr>
        <w:numPr>
          <w:ilvl w:val="1"/>
          <w:numId w:val="7"/>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Kan delegere beføjelser </w:t>
      </w:r>
    </w:p>
    <w:p w:rsidR="0051788F" w:rsidRPr="0051788F" w:rsidRDefault="0051788F" w:rsidP="0051788F">
      <w:pPr>
        <w:numPr>
          <w:ilvl w:val="0"/>
          <w:numId w:val="7"/>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Ministerierne er den udøvende magt</w:t>
      </w:r>
    </w:p>
    <w:p w:rsidR="0051788F" w:rsidRPr="0051788F" w:rsidRDefault="0051788F" w:rsidP="0051788F">
      <w:pPr>
        <w:numPr>
          <w:ilvl w:val="1"/>
          <w:numId w:val="7"/>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Sociale kasser og fonde hører også under den udøvende magt</w:t>
      </w:r>
    </w:p>
    <w:p w:rsidR="0051788F" w:rsidRPr="0051788F" w:rsidRDefault="0051788F" w:rsidP="0051788F">
      <w:pPr>
        <w:numPr>
          <w:ilvl w:val="0"/>
          <w:numId w:val="7"/>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Domstolene er den dømmende magt</w:t>
      </w:r>
    </w:p>
    <w:p w:rsidR="0051788F" w:rsidRPr="0051788F" w:rsidRDefault="0051788F" w:rsidP="0051788F">
      <w:pPr>
        <w:spacing w:after="24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color w:val="000000"/>
          <w:szCs w:val="22"/>
          <w:lang w:eastAsia="da-DK"/>
        </w:rPr>
        <w:t>Aktiv/passiv finanspolitik -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 xml:space="preserve">Finanspolitik kan deles op i henholdsvis aktiv og passiv finanspolitik. Den aktive finanspolitik berør på det man oftest hører om i medier. Skal skatten </w:t>
      </w:r>
      <w:r w:rsidRPr="0051788F">
        <w:rPr>
          <w:rFonts w:ascii="Times New Roman" w:eastAsia="Times New Roman" w:hAnsi="Times New Roman" w:cs="Times New Roman"/>
          <w:i/>
          <w:iCs/>
          <w:color w:val="000000"/>
          <w:szCs w:val="22"/>
          <w:lang w:eastAsia="da-DK"/>
        </w:rPr>
        <w:t xml:space="preserve">sættes </w:t>
      </w:r>
      <w:r w:rsidRPr="0051788F">
        <w:rPr>
          <w:rFonts w:ascii="Times New Roman" w:eastAsia="Times New Roman" w:hAnsi="Times New Roman" w:cs="Times New Roman"/>
          <w:color w:val="000000"/>
          <w:szCs w:val="22"/>
          <w:lang w:eastAsia="da-DK"/>
        </w:rPr>
        <w:t>op eller ned, eller bare forblive det den nu engang er? Den aktive finanspolitik er den finanspolitik, som man fører ved at hæve eller sænke skatter og afgifter fra politisk hold.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 xml:space="preserve">Den passive finanspolitik er derimod den finanspolitik der lidt løst sagt “fører sig selv”. I kraft af vores progressive skattesystem vil flere mennesker opleve </w:t>
      </w:r>
      <w:r w:rsidRPr="0051788F">
        <w:rPr>
          <w:rFonts w:ascii="Times New Roman" w:eastAsia="Times New Roman" w:hAnsi="Times New Roman" w:cs="Times New Roman"/>
          <w:i/>
          <w:iCs/>
          <w:color w:val="000000"/>
          <w:szCs w:val="22"/>
          <w:lang w:eastAsia="da-DK"/>
        </w:rPr>
        <w:t xml:space="preserve">skattestigninger </w:t>
      </w:r>
      <w:r w:rsidRPr="0051788F">
        <w:rPr>
          <w:rFonts w:ascii="Times New Roman" w:eastAsia="Times New Roman" w:hAnsi="Times New Roman" w:cs="Times New Roman"/>
          <w:color w:val="000000"/>
          <w:szCs w:val="22"/>
          <w:lang w:eastAsia="da-DK"/>
        </w:rPr>
        <w:t xml:space="preserve">under en højkonjunktur, da disse som følge af en stigende indkomst vil komme til at skulle betale en større andel af deres indkomst i skat. Under en lavkonjunktur gælder dette med modsat fortegn. Altså vil det at mange mennesker oplever en relativ tilbagegang i deres indkomst betyde, at de ryger “ned” i skattesystemet og dermed oplever at få en </w:t>
      </w:r>
      <w:r w:rsidRPr="0051788F">
        <w:rPr>
          <w:rFonts w:ascii="Times New Roman" w:eastAsia="Times New Roman" w:hAnsi="Times New Roman" w:cs="Times New Roman"/>
          <w:color w:val="000000"/>
          <w:szCs w:val="22"/>
          <w:lang w:eastAsia="da-DK"/>
        </w:rPr>
        <w:lastRenderedPageBreak/>
        <w:t>“skatterabat”, blot på baggrund af strukturen i det danske skattesystem. Her kan det danske dagpengesystem også kaldes for en automatisk stabilisator, da systemet sikrer, borgeren ikke bliver efterladt af markedet/systemet. Samtidig sikres det, at efterspørgsel opretholdes. </w:t>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38"/>
          <w:szCs w:val="38"/>
          <w:lang w:eastAsia="da-DK"/>
        </w:rPr>
        <w:t>Bloktilskud, refusioner og DUT-princippet.</w:t>
      </w:r>
      <w:r w:rsidRPr="0051788F">
        <w:rPr>
          <w:rFonts w:ascii="Times New Roman" w:eastAsia="Times New Roman" w:hAnsi="Times New Roman" w:cs="Times New Roman"/>
          <w:color w:val="000000"/>
          <w:kern w:val="36"/>
          <w:sz w:val="40"/>
          <w:szCs w:val="40"/>
          <w:lang w:eastAsia="da-DK"/>
        </w:rPr>
        <w:t>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DUT-princippet</w:t>
      </w:r>
    </w:p>
    <w:p w:rsidR="0051788F" w:rsidRPr="0051788F" w:rsidRDefault="0051788F" w:rsidP="0051788F">
      <w:pPr>
        <w:numPr>
          <w:ilvl w:val="0"/>
          <w:numId w:val="8"/>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Ved DUT-princippet menes, at staten ikke kan pålægge en byrde/opgave på en delsektor uden at have finansiering aftalt. Fx. kan regioner ikke pålægges ekstra byrder uden staten selv finansierer det gennem enten bloktilskud eller refusioner. </w:t>
      </w:r>
    </w:p>
    <w:p w:rsidR="0051788F" w:rsidRPr="0051788F" w:rsidRDefault="0051788F" w:rsidP="0051788F">
      <w:pPr>
        <w:numPr>
          <w:ilvl w:val="0"/>
          <w:numId w:val="8"/>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Dette sikrer de kommunale/regionale finansier forbliver stabile, og ikke pålægges opgaver, sektorerne ikke selv kan finansiere.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Bloktilskud</w:t>
      </w:r>
    </w:p>
    <w:p w:rsidR="0051788F" w:rsidRPr="0051788F" w:rsidRDefault="0051788F" w:rsidP="0051788F">
      <w:pPr>
        <w:numPr>
          <w:ilvl w:val="0"/>
          <w:numId w:val="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Bloktilskud er et fast beløb, der tildeles sektorer ud fra en fordelingsnøgle på baggrund af antallet af indbyggere i kommunen/regionen, til varetagelse af en byrde/opgave. Hver delsektor får derfor et fast beløb til varetagelse af opgaven. Opnår delsektoren allerede statens ønskede niveau, vil delsektoren realt opnå et overskud på bloktilskuddets størrelse. Dette bruges ofte, da det tvinger delsektorerne til at effektivisere opgaven/byrden.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Refusioner</w:t>
      </w:r>
    </w:p>
    <w:p w:rsidR="0051788F" w:rsidRPr="0051788F" w:rsidRDefault="0051788F" w:rsidP="0051788F">
      <w:pPr>
        <w:numPr>
          <w:ilvl w:val="0"/>
          <w:numId w:val="10"/>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Får man som kommune, når man har afholdt en given udgift som skal finansieres af staten. Hvis kommune A og kommune B har udgifter til ældre på henholdsvis 10.000 kr. og 100.000 kr. og disse udgifter tilbagebetales efter princippet om refusion, da vi kommune A få 10.000 kr. og kommune B modtage 100.000 kr.</w:t>
      </w:r>
    </w:p>
    <w:p w:rsidR="0051788F" w:rsidRPr="0051788F" w:rsidRDefault="0051788F" w:rsidP="0051788F">
      <w:pPr>
        <w:spacing w:after="0" w:line="240" w:lineRule="auto"/>
        <w:ind w:left="720"/>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Omend denne måde at tilbagebetale virker rimelig kan det føre til sløsethed, idet kommunerne blot kan skrue op for deres udgifter og herved gøre krav på en større tilbagebetaling fra staten i kraft af de føromtalte stigende udgifter.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i/>
          <w:iCs/>
          <w:color w:val="000000"/>
          <w:szCs w:val="22"/>
          <w:lang w:eastAsia="da-DK"/>
        </w:rPr>
        <w:t>Principperne bloktilskud og refusion ses illustreret herunder i et eksempel:</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jc w:val="center"/>
        <w:rPr>
          <w:rFonts w:ascii="Times New Roman" w:eastAsia="Times New Roman" w:hAnsi="Times New Roman" w:cs="Times New Roman"/>
          <w:sz w:val="24"/>
          <w:szCs w:val="24"/>
          <w:lang w:eastAsia="da-DK"/>
        </w:rPr>
      </w:pPr>
      <w:r w:rsidRPr="0051788F">
        <w:rPr>
          <w:rFonts w:ascii="Times New Roman" w:eastAsia="Times New Roman" w:hAnsi="Times New Roman" w:cs="Times New Roman"/>
          <w:noProof/>
          <w:color w:val="000000"/>
          <w:szCs w:val="22"/>
          <w:bdr w:val="none" w:sz="0" w:space="0" w:color="auto" w:frame="1"/>
          <w:lang w:eastAsia="da-DK" w:bidi="ar-SA"/>
        </w:rPr>
        <w:drawing>
          <wp:inline distT="0" distB="0" distL="0" distR="0">
            <wp:extent cx="3416561" cy="2186387"/>
            <wp:effectExtent l="0" t="0" r="0" b="444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18540" cy="2187653"/>
                    </a:xfrm>
                    <a:prstGeom prst="rect">
                      <a:avLst/>
                    </a:prstGeom>
                    <a:noFill/>
                    <a:ln>
                      <a:noFill/>
                    </a:ln>
                  </pic:spPr>
                </pic:pic>
              </a:graphicData>
            </a:graphic>
          </wp:inline>
        </w:drawing>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Data</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Data findes hovedsageligt i STO. Det er vigtigt at nævne at langt det meste data er nominelt, altså i løbende priser. Hermed kommer data udover en mængdemæssig udvikling også til at indeholde en prisudvikling. Dette lægger op til blandt andet andelsberegninger samt faktiske tal.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 xml:space="preserve">Sider i STO </w:t>
      </w:r>
      <w:proofErr w:type="spellStart"/>
      <w:r w:rsidRPr="0051788F">
        <w:rPr>
          <w:rFonts w:ascii="Times New Roman" w:eastAsia="Times New Roman" w:hAnsi="Times New Roman" w:cs="Times New Roman"/>
          <w:color w:val="000000"/>
          <w:szCs w:val="22"/>
          <w:lang w:eastAsia="da-DK"/>
        </w:rPr>
        <w:t>ala</w:t>
      </w:r>
      <w:proofErr w:type="spellEnd"/>
      <w:r w:rsidRPr="0051788F">
        <w:rPr>
          <w:rFonts w:ascii="Times New Roman" w:eastAsia="Times New Roman" w:hAnsi="Times New Roman" w:cs="Times New Roman"/>
          <w:color w:val="000000"/>
          <w:szCs w:val="22"/>
          <w:lang w:eastAsia="da-DK"/>
        </w:rPr>
        <w:t xml:space="preserve"> pensum</w:t>
      </w:r>
    </w:p>
    <w:p w:rsidR="0051788F" w:rsidRPr="0051788F" w:rsidRDefault="0051788F" w:rsidP="0051788F">
      <w:pPr>
        <w:numPr>
          <w:ilvl w:val="0"/>
          <w:numId w:val="1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lastRenderedPageBreak/>
        <w:t>194-196 - Begreber</w:t>
      </w:r>
    </w:p>
    <w:p w:rsidR="0051788F" w:rsidRPr="0051788F" w:rsidRDefault="0051788F" w:rsidP="0051788F">
      <w:pPr>
        <w:numPr>
          <w:ilvl w:val="0"/>
          <w:numId w:val="1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131-136 - Investeringer, fast realkapital, forbrugsudgift</w:t>
      </w:r>
    </w:p>
    <w:p w:rsidR="0051788F" w:rsidRPr="0051788F" w:rsidRDefault="0051788F" w:rsidP="0051788F">
      <w:pPr>
        <w:numPr>
          <w:ilvl w:val="0"/>
          <w:numId w:val="1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190-192 - Nationalregnskabsbegreber </w:t>
      </w:r>
    </w:p>
    <w:p w:rsidR="0051788F" w:rsidRPr="0051788F" w:rsidRDefault="0051788F" w:rsidP="0051788F">
      <w:pPr>
        <w:numPr>
          <w:ilvl w:val="0"/>
          <w:numId w:val="1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130 og 132 </w:t>
      </w:r>
    </w:p>
    <w:p w:rsidR="0051788F" w:rsidRPr="0051788F" w:rsidRDefault="0051788F" w:rsidP="0051788F">
      <w:pPr>
        <w:numPr>
          <w:ilvl w:val="0"/>
          <w:numId w:val="1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134 </w:t>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Hvordan måles finanspolitik?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Finanseffekt. </w:t>
      </w:r>
    </w:p>
    <w:p w:rsidR="0051788F" w:rsidRPr="0051788F" w:rsidRDefault="0051788F" w:rsidP="0051788F">
      <w:pPr>
        <w:numPr>
          <w:ilvl w:val="0"/>
          <w:numId w:val="12"/>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 xml:space="preserve">Måler finanspolitiske og strukturelle virkning på kapaciteten. Dette måles ud fra outputgabet, og der ved den samlede effekt på BNP. Finanseffekt måles hovedsageligt på </w:t>
      </w:r>
      <w:proofErr w:type="spellStart"/>
      <w:r w:rsidRPr="0051788F">
        <w:rPr>
          <w:rFonts w:ascii="Times New Roman" w:eastAsia="Times New Roman" w:hAnsi="Times New Roman" w:cs="Times New Roman"/>
          <w:color w:val="000000"/>
          <w:szCs w:val="22"/>
          <w:lang w:eastAsia="da-DK"/>
        </w:rPr>
        <w:t>et-årige</w:t>
      </w:r>
      <w:proofErr w:type="spellEnd"/>
      <w:r w:rsidRPr="0051788F">
        <w:rPr>
          <w:rFonts w:ascii="Times New Roman" w:eastAsia="Times New Roman" w:hAnsi="Times New Roman" w:cs="Times New Roman"/>
          <w:color w:val="000000"/>
          <w:szCs w:val="22"/>
          <w:lang w:eastAsia="da-DK"/>
        </w:rPr>
        <w:t xml:space="preserve"> perioder.</w:t>
      </w:r>
    </w:p>
    <w:p w:rsidR="0051788F" w:rsidRPr="0051788F" w:rsidRDefault="0051788F" w:rsidP="0051788F">
      <w:pPr>
        <w:numPr>
          <w:ilvl w:val="0"/>
          <w:numId w:val="12"/>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En positiv finanseffekt skal fortolkes som en politisk beslutning, der har påvirket BNP positivt og omvendt</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Den strukturelle budgetsaldo</w:t>
      </w:r>
    </w:p>
    <w:p w:rsidR="0051788F" w:rsidRPr="0051788F" w:rsidRDefault="0051788F" w:rsidP="0051788F">
      <w:pPr>
        <w:numPr>
          <w:ilvl w:val="0"/>
          <w:numId w:val="13"/>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Angiver nettostillingen af den offentlige budget fratrukket konjunkturernes bidrag. </w:t>
      </w:r>
    </w:p>
    <w:p w:rsidR="0051788F" w:rsidRPr="0051788F" w:rsidRDefault="0051788F" w:rsidP="0051788F">
      <w:pPr>
        <w:numPr>
          <w:ilvl w:val="0"/>
          <w:numId w:val="13"/>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Den strukturelle budgetsaldo er altså fratrukket de automatiske stabilisatorer</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Nettofordringserhvervelsen</w:t>
      </w:r>
    </w:p>
    <w:p w:rsidR="0051788F" w:rsidRPr="0051788F" w:rsidRDefault="0051788F" w:rsidP="0051788F">
      <w:pPr>
        <w:numPr>
          <w:ilvl w:val="0"/>
          <w:numId w:val="14"/>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Nettoresultatet af de nationalregnskabsopgjorte udgifter og indtægter er drifts- og kapitaloverskuddet, som kaldes nettofordringserhvervelsen. Dette opgør statens indtægter og udgifter til og fra andre sektorer, indenlandsk som udenlandsk. </w:t>
      </w:r>
    </w:p>
    <w:p w:rsidR="0051788F" w:rsidRPr="0051788F" w:rsidRDefault="0051788F" w:rsidP="0051788F">
      <w:pPr>
        <w:numPr>
          <w:ilvl w:val="0"/>
          <w:numId w:val="14"/>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Et overskud betyder at staten har mindsket dens finansielle gæld til andre sektorer og omvendt. </w:t>
      </w:r>
    </w:p>
    <w:p w:rsidR="0051788F" w:rsidRPr="0051788F" w:rsidRDefault="0051788F" w:rsidP="0051788F">
      <w:pPr>
        <w:numPr>
          <w:ilvl w:val="0"/>
          <w:numId w:val="14"/>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Alle delsektorer kan opgøre deres NFE, dog ses de største udsving i statens pga. de automatiske stabilisatorer påvirkning af konjunkturerne. Samtidigt kan kommuner og regioner ikke optage samme store lån, som staten har mulighed for pga. låne restriktioner </w:t>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Cs w:val="22"/>
          <w:lang w:eastAsia="da-DK"/>
        </w:rPr>
        <w:t xml:space="preserve">DAU-overskud(Drifts-, anlægs- og </w:t>
      </w:r>
      <w:proofErr w:type="spellStart"/>
      <w:r w:rsidRPr="0051788F">
        <w:rPr>
          <w:rFonts w:ascii="Times New Roman" w:eastAsia="Times New Roman" w:hAnsi="Times New Roman" w:cs="Times New Roman"/>
          <w:color w:val="000000"/>
          <w:szCs w:val="22"/>
          <w:lang w:eastAsia="da-DK"/>
        </w:rPr>
        <w:t>udlånsaldoen</w:t>
      </w:r>
      <w:proofErr w:type="spellEnd"/>
      <w:r w:rsidRPr="0051788F">
        <w:rPr>
          <w:rFonts w:ascii="Times New Roman" w:eastAsia="Times New Roman" w:hAnsi="Times New Roman" w:cs="Times New Roman"/>
          <w:color w:val="000000"/>
          <w:szCs w:val="22"/>
          <w:lang w:eastAsia="da-DK"/>
        </w:rPr>
        <w:t>) </w:t>
      </w:r>
    </w:p>
    <w:p w:rsidR="0051788F" w:rsidRPr="0051788F" w:rsidRDefault="0051788F" w:rsidP="0051788F">
      <w:pPr>
        <w:numPr>
          <w:ilvl w:val="0"/>
          <w:numId w:val="15"/>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 xml:space="preserve">Dette er statsbudgettet. Det er forskellen mellem indtægter og udgifter tillagt statens udlån. Statens udlån menes at være vital i at vise, hvordan de offentlige finanser har det. Simplificeret kan det det sige at være </w:t>
      </w:r>
      <w:proofErr w:type="spellStart"/>
      <w:r w:rsidRPr="0051788F">
        <w:rPr>
          <w:rFonts w:ascii="Times New Roman" w:eastAsia="Times New Roman" w:hAnsi="Times New Roman" w:cs="Times New Roman"/>
          <w:color w:val="000000"/>
          <w:szCs w:val="22"/>
          <w:lang w:eastAsia="da-DK"/>
        </w:rPr>
        <w:t>DAU=NFE-Korrektertioner</w:t>
      </w:r>
      <w:proofErr w:type="spellEnd"/>
      <w:r w:rsidRPr="0051788F">
        <w:rPr>
          <w:rFonts w:ascii="Times New Roman" w:eastAsia="Times New Roman" w:hAnsi="Times New Roman" w:cs="Times New Roman"/>
          <w:color w:val="000000"/>
          <w:szCs w:val="22"/>
          <w:lang w:eastAsia="da-DK"/>
        </w:rPr>
        <w:t xml:space="preserve"> og </w:t>
      </w:r>
      <w:proofErr w:type="spellStart"/>
      <w:r w:rsidRPr="0051788F">
        <w:rPr>
          <w:rFonts w:ascii="Times New Roman" w:eastAsia="Times New Roman" w:hAnsi="Times New Roman" w:cs="Times New Roman"/>
          <w:color w:val="000000"/>
          <w:szCs w:val="22"/>
          <w:lang w:eastAsia="da-DK"/>
        </w:rPr>
        <w:t>periodiseringer+Nettoudlån</w:t>
      </w:r>
      <w:proofErr w:type="spellEnd"/>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after="0" w:line="240" w:lineRule="auto"/>
        <w:ind w:left="720"/>
        <w:jc w:val="center"/>
        <w:rPr>
          <w:rFonts w:ascii="Times New Roman" w:eastAsia="Times New Roman" w:hAnsi="Times New Roman" w:cs="Times New Roman"/>
          <w:sz w:val="24"/>
          <w:szCs w:val="24"/>
          <w:lang w:eastAsia="da-DK"/>
        </w:rPr>
      </w:pPr>
      <w:r w:rsidRPr="0051788F">
        <w:rPr>
          <w:rFonts w:ascii="Times New Roman" w:eastAsia="Times New Roman" w:hAnsi="Times New Roman" w:cs="Times New Roman"/>
          <w:noProof/>
          <w:color w:val="000000"/>
          <w:szCs w:val="22"/>
          <w:bdr w:val="none" w:sz="0" w:space="0" w:color="auto" w:frame="1"/>
          <w:lang w:eastAsia="da-DK" w:bidi="ar-SA"/>
        </w:rPr>
        <w:drawing>
          <wp:inline distT="0" distB="0" distL="0" distR="0">
            <wp:extent cx="3837266" cy="1522839"/>
            <wp:effectExtent l="0" t="0" r="0" b="1270"/>
            <wp:docPr id="1" name="Billede 1" descr="Et billede, der indeholder tekst, kvittering,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kvittering, skærmbillede&#10;&#10;Automatisk genereret beskrivels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9665" cy="1523791"/>
                    </a:xfrm>
                    <a:prstGeom prst="rect">
                      <a:avLst/>
                    </a:prstGeom>
                    <a:noFill/>
                    <a:ln>
                      <a:noFill/>
                    </a:ln>
                  </pic:spPr>
                </pic:pic>
              </a:graphicData>
            </a:graphic>
          </wp:inline>
        </w:drawing>
      </w:r>
    </w:p>
    <w:p w:rsidR="0051788F" w:rsidRPr="0051788F" w:rsidRDefault="0051788F" w:rsidP="0051788F">
      <w:pPr>
        <w:spacing w:after="0" w:line="240" w:lineRule="auto"/>
        <w:rPr>
          <w:rFonts w:ascii="Times New Roman" w:eastAsia="Times New Roman" w:hAnsi="Times New Roman" w:cs="Times New Roman"/>
          <w:sz w:val="24"/>
          <w:szCs w:val="24"/>
          <w:lang w:eastAsia="da-DK"/>
        </w:rPr>
      </w:pPr>
    </w:p>
    <w:p w:rsidR="0051788F" w:rsidRPr="0051788F" w:rsidRDefault="0051788F" w:rsidP="0051788F">
      <w:pPr>
        <w:spacing w:before="240" w:after="24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Offentlig gæld</w:t>
      </w:r>
    </w:p>
    <w:p w:rsidR="0051788F" w:rsidRPr="0051788F" w:rsidRDefault="0051788F" w:rsidP="0051788F">
      <w:p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Staten kan optage gæld på tre forskellige måder:</w:t>
      </w:r>
    </w:p>
    <w:p w:rsidR="0051788F" w:rsidRPr="0051788F" w:rsidRDefault="0051788F" w:rsidP="0051788F">
      <w:pPr>
        <w:numPr>
          <w:ilvl w:val="0"/>
          <w:numId w:val="16"/>
        </w:numPr>
        <w:spacing w:before="240"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Indenlandsk</w:t>
      </w:r>
    </w:p>
    <w:p w:rsidR="0051788F" w:rsidRPr="0051788F" w:rsidRDefault="0051788F" w:rsidP="0051788F">
      <w:pPr>
        <w:numPr>
          <w:ilvl w:val="0"/>
          <w:numId w:val="16"/>
        </w:numPr>
        <w:spacing w:after="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Udenlandsk</w:t>
      </w:r>
    </w:p>
    <w:p w:rsidR="0051788F" w:rsidRPr="0051788F" w:rsidRDefault="0051788F" w:rsidP="0051788F">
      <w:pPr>
        <w:numPr>
          <w:ilvl w:val="0"/>
          <w:numId w:val="16"/>
        </w:numPr>
        <w:spacing w:after="240" w:line="240" w:lineRule="auto"/>
        <w:textAlignment w:val="baseline"/>
        <w:rPr>
          <w:rFonts w:ascii="Times New Roman" w:eastAsia="Times New Roman" w:hAnsi="Times New Roman" w:cs="Times New Roman"/>
          <w:color w:val="000000"/>
          <w:sz w:val="24"/>
          <w:szCs w:val="24"/>
          <w:lang w:eastAsia="da-DK"/>
        </w:rPr>
      </w:pPr>
      <w:r w:rsidRPr="0051788F">
        <w:rPr>
          <w:rFonts w:ascii="Times New Roman" w:eastAsia="Times New Roman" w:hAnsi="Times New Roman" w:cs="Times New Roman"/>
          <w:color w:val="000000"/>
          <w:sz w:val="24"/>
          <w:szCs w:val="24"/>
          <w:lang w:eastAsia="da-DK"/>
        </w:rPr>
        <w:t>Træk på statens konto i Nationalbanken (kredit).</w:t>
      </w:r>
    </w:p>
    <w:p w:rsidR="0051788F" w:rsidRPr="0051788F" w:rsidRDefault="0051788F" w:rsidP="0051788F">
      <w:p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color w:val="000000"/>
          <w:sz w:val="24"/>
          <w:szCs w:val="24"/>
          <w:lang w:eastAsia="da-DK"/>
        </w:rPr>
        <w:t>Indenlandsk låntagning</w:t>
      </w:r>
      <w:r w:rsidRPr="0051788F">
        <w:rPr>
          <w:rFonts w:ascii="Times New Roman" w:eastAsia="Times New Roman" w:hAnsi="Times New Roman" w:cs="Times New Roman"/>
          <w:color w:val="000000"/>
          <w:sz w:val="24"/>
          <w:szCs w:val="24"/>
          <w:lang w:eastAsia="da-DK"/>
        </w:rPr>
        <w:t xml:space="preserve"> foretages med henblik på at dække statens indenlandske finansieringsbehov. Dvs. hvis staten foretager udbetalinger indenlandsk som ikke kan dækkes af </w:t>
      </w:r>
      <w:r w:rsidRPr="0051788F">
        <w:rPr>
          <w:rFonts w:ascii="Times New Roman" w:eastAsia="Times New Roman" w:hAnsi="Times New Roman" w:cs="Times New Roman"/>
          <w:color w:val="000000"/>
          <w:sz w:val="24"/>
          <w:szCs w:val="24"/>
          <w:lang w:eastAsia="da-DK"/>
        </w:rPr>
        <w:lastRenderedPageBreak/>
        <w:t>skatte- og afgiftsindtægter mv., så optager staten gæld i indlandet. Det er nødvendigt for at kontrollere den korte rente og pengemængden.</w:t>
      </w:r>
    </w:p>
    <w:p w:rsidR="0051788F" w:rsidRDefault="0051788F" w:rsidP="0051788F">
      <w:p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Staten gør det konkret ved at sælge statsobligationer, statsgældsbeviser og skatkammerbeviser til den private sektor (husholdninger, virksomheder, finansiel sektor mm.), som derved yder staten et lån. Desuden kan statens indenlandske gældsstiftelse benyttes til at opsuge likviditet i markedet hvis der er fare for en overophedning.</w:t>
      </w:r>
    </w:p>
    <w:p w:rsidR="0051788F" w:rsidRPr="0051788F" w:rsidRDefault="0051788F" w:rsidP="0051788F">
      <w:pPr>
        <w:pStyle w:val="Listeafsnit"/>
        <w:numPr>
          <w:ilvl w:val="0"/>
          <w:numId w:val="22"/>
        </w:num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Statsobligationer: Relativt lang løbetid omkring 10, 20 eller 30 år. Der er kurs og (kupon)rente (pålydende rente) som er modsat virkende. De udgør til sammen den effektive rente.</w:t>
      </w:r>
    </w:p>
    <w:p w:rsidR="0051788F" w:rsidRPr="0051788F" w:rsidRDefault="0051788F" w:rsidP="0051788F">
      <w:pPr>
        <w:pStyle w:val="Listeafsnit"/>
        <w:numPr>
          <w:ilvl w:val="0"/>
          <w:numId w:val="22"/>
        </w:num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Statsgældsbeviser: Sådan set bare en 2-årig statsobligation.</w:t>
      </w:r>
    </w:p>
    <w:p w:rsidR="0051788F" w:rsidRPr="0051788F" w:rsidRDefault="0051788F" w:rsidP="0051788F">
      <w:pPr>
        <w:pStyle w:val="Listeafsnit"/>
        <w:numPr>
          <w:ilvl w:val="0"/>
          <w:numId w:val="22"/>
        </w:num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color w:val="000000"/>
          <w:sz w:val="24"/>
          <w:szCs w:val="24"/>
          <w:lang w:eastAsia="da-DK"/>
        </w:rPr>
        <w:t>Skatkammerbevis: Der er ingen pålydende rente men udelukkende en kurs. Købes de til kurs 90 købes de tilbage ved udløbsdatoen til kurs 100, så har forrentningen været ca. 11,1% (1/9).</w:t>
      </w:r>
    </w:p>
    <w:p w:rsidR="0051788F" w:rsidRPr="0051788F" w:rsidRDefault="0051788F" w:rsidP="0051788F">
      <w:p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color w:val="000000"/>
          <w:sz w:val="24"/>
          <w:szCs w:val="24"/>
          <w:lang w:eastAsia="da-DK"/>
        </w:rPr>
        <w:t>Udenlandsk låntagning</w:t>
      </w:r>
      <w:r w:rsidRPr="0051788F">
        <w:rPr>
          <w:rFonts w:ascii="Times New Roman" w:eastAsia="Times New Roman" w:hAnsi="Times New Roman" w:cs="Times New Roman"/>
          <w:color w:val="000000"/>
          <w:sz w:val="24"/>
          <w:szCs w:val="24"/>
          <w:lang w:eastAsia="da-DK"/>
        </w:rPr>
        <w:t xml:space="preserve"> foretages med henblik på at dække statens udenlandske finansieringsbehov. Nationalbanken har ansvar for at kontrollere og vedligeholde valutareserven. Hvis den private sektor importer meget reducerer det valutareserven af den/de pågældende valuta. Den udenlandske gæld optages ved at sælge statsobligationer til den private sektor i det pågældende land hvor den manglede valuta befinder sig. Udenlandsk gældsstiftelse opsuger ikke likviditet.</w:t>
      </w:r>
    </w:p>
    <w:p w:rsidR="0051788F" w:rsidRPr="0051788F" w:rsidRDefault="0051788F" w:rsidP="0051788F">
      <w:pPr>
        <w:spacing w:before="240" w:after="240" w:line="240" w:lineRule="auto"/>
        <w:rPr>
          <w:rFonts w:ascii="Times New Roman" w:eastAsia="Times New Roman" w:hAnsi="Times New Roman" w:cs="Times New Roman"/>
          <w:sz w:val="24"/>
          <w:szCs w:val="24"/>
          <w:lang w:eastAsia="da-DK"/>
        </w:rPr>
      </w:pPr>
      <w:r w:rsidRPr="0051788F">
        <w:rPr>
          <w:rFonts w:ascii="Times New Roman" w:eastAsia="Times New Roman" w:hAnsi="Times New Roman" w:cs="Times New Roman"/>
          <w:b/>
          <w:bCs/>
          <w:color w:val="000000"/>
          <w:sz w:val="24"/>
          <w:szCs w:val="24"/>
          <w:lang w:eastAsia="da-DK"/>
        </w:rPr>
        <w:t xml:space="preserve">Træk på statens konto i Nationalbanken </w:t>
      </w:r>
      <w:r w:rsidRPr="0051788F">
        <w:rPr>
          <w:rFonts w:ascii="Times New Roman" w:eastAsia="Times New Roman" w:hAnsi="Times New Roman" w:cs="Times New Roman"/>
          <w:color w:val="000000"/>
          <w:sz w:val="24"/>
          <w:szCs w:val="24"/>
          <w:lang w:eastAsia="da-DK"/>
        </w:rPr>
        <w:t>er forbudt. Det er en del af EU’s finanspagt, at medlemslande ikke må trække på kontoen i centralbanken. Det konkrete ’træk’ sker ved at Nationalbanken trykker penge (skriver dem på statens konto), så staten herefter kan bruge dem. Statens konto i nationalbanken må nemlig ikke kommer under 0.</w:t>
      </w:r>
    </w:p>
    <w:p w:rsidR="0051788F" w:rsidRPr="0051788F" w:rsidRDefault="0051788F" w:rsidP="0051788F">
      <w:pPr>
        <w:spacing w:before="400" w:after="120" w:line="240" w:lineRule="auto"/>
        <w:outlineLvl w:val="0"/>
        <w:rPr>
          <w:rFonts w:ascii="Times New Roman" w:eastAsia="Times New Roman" w:hAnsi="Times New Roman" w:cs="Times New Roman"/>
          <w:b/>
          <w:bCs/>
          <w:kern w:val="36"/>
          <w:sz w:val="48"/>
          <w:szCs w:val="48"/>
          <w:lang w:eastAsia="da-DK"/>
        </w:rPr>
      </w:pPr>
      <w:r w:rsidRPr="0051788F">
        <w:rPr>
          <w:rFonts w:ascii="Times New Roman" w:eastAsia="Times New Roman" w:hAnsi="Times New Roman" w:cs="Times New Roman"/>
          <w:color w:val="000000"/>
          <w:kern w:val="36"/>
          <w:sz w:val="40"/>
          <w:szCs w:val="40"/>
          <w:lang w:eastAsia="da-DK"/>
        </w:rPr>
        <w:t>Forklaringsfaktorer</w:t>
      </w:r>
    </w:p>
    <w:p w:rsidR="0051788F" w:rsidRPr="0051788F" w:rsidRDefault="0051788F" w:rsidP="0051788F">
      <w:pPr>
        <w:numPr>
          <w:ilvl w:val="0"/>
          <w:numId w:val="17"/>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De aktive finanspolitiske tiltag er ene og alene politisk bestemt, mens de passive finanspolitiske tiltag påvirkes af konjunkturerne.</w:t>
      </w:r>
    </w:p>
    <w:p w:rsidR="0051788F" w:rsidRPr="0051788F" w:rsidRDefault="0051788F" w:rsidP="0051788F">
      <w:pPr>
        <w:numPr>
          <w:ilvl w:val="0"/>
          <w:numId w:val="17"/>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Kartoffelkuren 1986:</w:t>
      </w:r>
    </w:p>
    <w:p w:rsidR="0051788F" w:rsidRPr="0051788F" w:rsidRDefault="0051788F" w:rsidP="0051788F">
      <w:pPr>
        <w:numPr>
          <w:ilvl w:val="1"/>
          <w:numId w:val="18"/>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Underskud på BB; indfører mixlån (min 40% serielån som er dyrere i starten af låntagningsperioden) og lægger afgift på nettorenteudgifter.</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Medfører mindre disp. Indkomst og dermed mindre privat forbrug</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Skattereform 1987</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Skatteværdien af rentefradraget blev sænket, så renten efter skat blev positiv (det kostede rent faktisk noget at optage lån)</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Medførte faldende huspriser, som følge af dyrere låntagning</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Mindre disp. Indkomst og dermed mindre privat forbrug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Marginalskatten på høje lønindkomster blev reduceret med 4,5% point</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Øget disp. Indkomst - øget forbrug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Splittede skat op i personlig indkomstskat, kapitalskatter og ligningsmæssige fradrag.</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Lempelse af lånereglerne 1993 og skattereform 1994 (kickstarten)</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Det private forbrug var for lavt (lavkonjunktur) - fører dermed ekspansiv finanspolitik</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Mixlån afskaffet og løbetiden for lån blev forlænget fra 20 til 30 år</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Forbrugsrenteafgiften fuldstændigt afskaffet</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Medførte stigende låntagning (det var billigere uden serielån) og dermed også stigende huspriser og stigende privat forbrug.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Skrotningspræmie for biler, 80% stigning i bilsalg i 1994</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lastRenderedPageBreak/>
        <w:t>Stor stigning i det private forbrug frem til 1998</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Indførelse af AM-bidrag (skal ikke betales af overførselsmodtagere)</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proofErr w:type="spellStart"/>
      <w:r w:rsidRPr="0051788F">
        <w:rPr>
          <w:rFonts w:ascii="Times New Roman" w:eastAsia="Times New Roman" w:hAnsi="Times New Roman" w:cs="Times New Roman"/>
          <w:color w:val="000000"/>
          <w:szCs w:val="22"/>
          <w:lang w:eastAsia="da-DK"/>
        </w:rPr>
        <w:t>Bruttoficering</w:t>
      </w:r>
      <w:proofErr w:type="spellEnd"/>
      <w:r w:rsidRPr="0051788F">
        <w:rPr>
          <w:rFonts w:ascii="Times New Roman" w:eastAsia="Times New Roman" w:hAnsi="Times New Roman" w:cs="Times New Roman"/>
          <w:color w:val="000000"/>
          <w:szCs w:val="22"/>
          <w:lang w:eastAsia="da-DK"/>
        </w:rPr>
        <w:t xml:space="preserve"> af overførsler (teknisk stigning i skattetryk, ingen reel ændring)</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Yderligere lånereformer i slut 90'erne</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Variabelt forrentede lån indføres sammen med flekslån med lav rente.</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Pinsepakken (skattereformen) 1999</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BB var negativ, ønsker at dæmpe det private forbrug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Reduktion af rentefradraget</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Låntagning dyrere</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Højeste marginalskat på lønindkomst (topskatten) hæves en anelse</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Medfører drastisk fald i det private forbrug som følge af mindre disp. Indkomst.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Ejendomsværdiskatten erstatter indkomstbeskatning af 'lejeværdi af egen bolig', den sættes til 1%</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Pensionsafkastskat (2000)</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PAL-skat indføres på 15%</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Selskabsskatten sænkes (2001)</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Selskabsskatten sænkes til 30%</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Skattestop 2002</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Stop for at hæve afgifter og skatter, både procentsatser og kronebeløb (den disponible indkomst bliver større, fordi skatten ikke følger med væksten, dermed højere forbrugskvote fordi især ejendomsværdiskatten udgør en lavere og lavere del af indkomsten).</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Fastfrysning af ejendomsværdiskatten (nominalprincippet) er godt for eksisterende boligejere, hvor prisen på deres bolig stiger, men skatten er låst fast.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Uændret skattesats på værdiafgifter (moms)</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Omlægning af SP, så det ikke længere er omfordelende men fungerer proportionelt, så det folk indbetaler, også er det de får udbetalt.</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Afdragsfrie lån og nedsatte giftskatter 2003</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Begyndende lavkonjunktur, lånene giver øget disp indkomst og dermed øget forbrug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Afgifter på tobak, alkohol og sukker mm. Nedsattes som led i ophævelsen af 24-timers-reglen</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Forårspakke 1.0 2003/2004</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Forhøjet mellemskattegrænse med 12.000 kr. p.a. 2004-2007</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Forøger den disp indkomst medfører højere privat forbrug (begyndende lavkonjunktur)</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Indfører beskæftigelsesfradrag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Ikke længere muligt at spare op via SP (særlig pensionsopsparing)</w:t>
      </w:r>
    </w:p>
    <w:p w:rsidR="0051788F" w:rsidRPr="0051788F" w:rsidRDefault="0051788F" w:rsidP="0051788F">
      <w:pPr>
        <w:numPr>
          <w:ilvl w:val="2"/>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Pengene skal ikke spares op, men i stedet bruges</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Selskabsskatten sænkes (2005)</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Til 28%</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Lavere skat på arbejde 2007/2008</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Grænsen for mellemskat sammenlægges med topskattegrænsen (hæver disp. Indkomst.)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Antallet af topskatteydere skal holdes konstant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Beskæftigelsesfradraget hæves (hæver disp. indkomst i bunden)</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Ophæver skattestop på energiafgifter (udhuler forbrugsmuligheder)</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Forårspakke 2.0 2009</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Mellemskat afskaffet (øger disp. Indkomst)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Topskattegrænse hævet (øger disp. Indkomst) og lavere sats på marginalskat for topskat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Lavere bundskat (øger disp. Indkomst)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Udbetaling af midlerne fra den særlige pensionsindbetaling (SP) (øger disp. Indkomst.)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Indfører afgifter på usundt forbrug (fedt- og sukkerafgift og forurening)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Grøn check til personer med lave indkomster som kompensation for højere energiafgifter</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Genopretningspakken 2010</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Udskyder skattesænkningerne fra forårspakken for at leve op til budgetrestriktioner</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lastRenderedPageBreak/>
        <w:t>Fyrer offentligt ansatte</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Efterlønsreform (Reformpakke 2020) 2011</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Efterløn nedsættes til 3 år</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Fradrag for istandsættelse og hjælp i huset</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Finanslov 2012</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Afgifter sænkes (sukkerafgift og energi)</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Skattefritagelse for sundhedsforsikringer fjernes</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Multimedieskatten fjernes</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Afgift på husstandsomdelte reklamer</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 xml:space="preserve">Afgiften på </w:t>
      </w:r>
      <w:proofErr w:type="spellStart"/>
      <w:r w:rsidRPr="0051788F">
        <w:rPr>
          <w:rFonts w:ascii="Times New Roman" w:eastAsia="Times New Roman" w:hAnsi="Times New Roman" w:cs="Times New Roman"/>
          <w:color w:val="000000"/>
          <w:szCs w:val="22"/>
          <w:lang w:eastAsia="da-DK"/>
        </w:rPr>
        <w:t>NOx-forurening</w:t>
      </w:r>
      <w:proofErr w:type="spellEnd"/>
      <w:r w:rsidRPr="0051788F">
        <w:rPr>
          <w:rFonts w:ascii="Times New Roman" w:eastAsia="Times New Roman" w:hAnsi="Times New Roman" w:cs="Times New Roman"/>
          <w:color w:val="000000"/>
          <w:szCs w:val="22"/>
          <w:lang w:eastAsia="da-DK"/>
        </w:rPr>
        <w:t xml:space="preserve"> stiger</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Skattereform 2012</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Beskæftigelsesfradrag hæves</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Forlænger skattestoppet (nominalprincippet) frem til 2020</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Pension forhøjes</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Regulering af afgifter så de følger prisudviklingen</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Øget beskatning af biler</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Vækstplan DK 2013</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Sænker selskabsskatten gradvist fra 25 til 22%</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Sænker skatter og afgifter</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Vækstplan 2014</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Lavere PSO-afgift, andre afgifter sænkes</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Finanslov 2015</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Sænkelse af PSO-afgiften</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 xml:space="preserve">Nedsat </w:t>
      </w:r>
      <w:proofErr w:type="spellStart"/>
      <w:r w:rsidRPr="0051788F">
        <w:rPr>
          <w:rFonts w:ascii="Times New Roman" w:eastAsia="Times New Roman" w:hAnsi="Times New Roman" w:cs="Times New Roman"/>
          <w:color w:val="000000"/>
          <w:szCs w:val="22"/>
          <w:lang w:eastAsia="da-DK"/>
        </w:rPr>
        <w:t>NOx-beskatning</w:t>
      </w:r>
      <w:proofErr w:type="spellEnd"/>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Finanslov 2016</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Nedsat registreringsafgift</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Skattereform 2017</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Afgifter på benzin og dieselbiler sænkes</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Fastfrysning af grundskyld</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Boligskatteaftale 2017</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Mulighed for at indefryse boligskat til efter salg af bolig</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Aftale om bil-, bro- og vejafgift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Bilafgift reduceres</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Erhvervspakke 2017</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Lavere elvarmeafgift</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Fradrag for virksomheders forskningsaktiviteter</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Skattereform 2018</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Jobfradrag på 4,5% af indkomst over 187.500</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Nyt pensionsfradrag</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Grundlag for beskæftigelsesfradrag udvides så det omfatter den del af arbejdsindkomsten som går til pension</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Bundskatten sænkes med 0,02%</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Energiaftale 2018</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Lempelser i el- og varmeafgifter på 2 mia.</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Licensen afskaffes 2018</w:t>
      </w:r>
    </w:p>
    <w:p w:rsidR="0051788F" w:rsidRPr="0051788F" w:rsidRDefault="0051788F" w:rsidP="0051788F">
      <w:pPr>
        <w:numPr>
          <w:ilvl w:val="1"/>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Ja, licensen afskaffes og betales herefter over indkomstskatten</w:t>
      </w:r>
    </w:p>
    <w:p w:rsidR="0051788F" w:rsidRPr="0051788F" w:rsidRDefault="0051788F" w:rsidP="0051788F">
      <w:pPr>
        <w:numPr>
          <w:ilvl w:val="0"/>
          <w:numId w:val="19"/>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Finanslov for 2019</w:t>
      </w:r>
    </w:p>
    <w:p w:rsidR="0051788F" w:rsidRPr="0051788F" w:rsidRDefault="0051788F" w:rsidP="0051788F">
      <w:pPr>
        <w:numPr>
          <w:ilvl w:val="0"/>
          <w:numId w:val="20"/>
        </w:numPr>
        <w:spacing w:after="0" w:line="240" w:lineRule="auto"/>
        <w:ind w:left="1440"/>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Pensionsoverførsler følger lønudvikling</w:t>
      </w:r>
    </w:p>
    <w:p w:rsidR="0051788F" w:rsidRPr="0051788F" w:rsidRDefault="0051788F" w:rsidP="0051788F">
      <w:pPr>
        <w:numPr>
          <w:ilvl w:val="0"/>
          <w:numId w:val="20"/>
        </w:numPr>
        <w:spacing w:after="0" w:line="240" w:lineRule="auto"/>
        <w:ind w:left="1440"/>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Nedsatte overførselsindkomster</w:t>
      </w:r>
    </w:p>
    <w:p w:rsidR="0051788F" w:rsidRPr="0051788F" w:rsidRDefault="0051788F" w:rsidP="0051788F">
      <w:pPr>
        <w:numPr>
          <w:ilvl w:val="0"/>
          <w:numId w:val="2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Finanslov for 2020</w:t>
      </w:r>
    </w:p>
    <w:p w:rsidR="0051788F" w:rsidRPr="0051788F" w:rsidRDefault="0051788F" w:rsidP="0051788F">
      <w:pPr>
        <w:numPr>
          <w:ilvl w:val="1"/>
          <w:numId w:val="2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Højere afgifter på cigaretter og bæreposer</w:t>
      </w:r>
    </w:p>
    <w:p w:rsidR="0051788F" w:rsidRPr="0051788F" w:rsidRDefault="0051788F" w:rsidP="0051788F">
      <w:pPr>
        <w:numPr>
          <w:ilvl w:val="0"/>
          <w:numId w:val="21"/>
        </w:numPr>
        <w:spacing w:after="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b/>
          <w:bCs/>
          <w:color w:val="000000"/>
          <w:szCs w:val="22"/>
          <w:lang w:eastAsia="da-DK"/>
        </w:rPr>
        <w:t>Coronapakke I 2020</w:t>
      </w:r>
    </w:p>
    <w:p w:rsidR="001D6280" w:rsidRPr="0051788F" w:rsidRDefault="0051788F" w:rsidP="0051788F">
      <w:pPr>
        <w:numPr>
          <w:ilvl w:val="1"/>
          <w:numId w:val="21"/>
        </w:numPr>
        <w:spacing w:after="240" w:line="240" w:lineRule="auto"/>
        <w:textAlignment w:val="baseline"/>
        <w:rPr>
          <w:rFonts w:ascii="Times New Roman" w:eastAsia="Times New Roman" w:hAnsi="Times New Roman" w:cs="Times New Roman"/>
          <w:color w:val="000000"/>
          <w:szCs w:val="22"/>
          <w:lang w:eastAsia="da-DK"/>
        </w:rPr>
      </w:pPr>
      <w:r w:rsidRPr="0051788F">
        <w:rPr>
          <w:rFonts w:ascii="Times New Roman" w:eastAsia="Times New Roman" w:hAnsi="Times New Roman" w:cs="Times New Roman"/>
          <w:color w:val="000000"/>
          <w:szCs w:val="22"/>
          <w:lang w:eastAsia="da-DK"/>
        </w:rPr>
        <w:t>Udskydelse af indbetalinger af moms, AM-bidrag og A-ska</w:t>
      </w:r>
      <w:r>
        <w:rPr>
          <w:rFonts w:ascii="Times New Roman" w:eastAsia="Times New Roman" w:hAnsi="Times New Roman" w:cs="Times New Roman"/>
          <w:color w:val="000000"/>
          <w:szCs w:val="22"/>
          <w:lang w:eastAsia="da-DK"/>
        </w:rPr>
        <w:t>t.</w:t>
      </w:r>
    </w:p>
    <w:sectPr w:rsidR="001D6280" w:rsidRPr="0051788F" w:rsidSect="0070282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5B44"/>
    <w:multiLevelType w:val="multilevel"/>
    <w:tmpl w:val="0436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B25FD"/>
    <w:multiLevelType w:val="multilevel"/>
    <w:tmpl w:val="20FA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33AA6"/>
    <w:multiLevelType w:val="multilevel"/>
    <w:tmpl w:val="48D4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B2C5C"/>
    <w:multiLevelType w:val="multilevel"/>
    <w:tmpl w:val="27A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F2C0D"/>
    <w:multiLevelType w:val="multilevel"/>
    <w:tmpl w:val="471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E2B77"/>
    <w:multiLevelType w:val="multilevel"/>
    <w:tmpl w:val="5A306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E075A"/>
    <w:multiLevelType w:val="multilevel"/>
    <w:tmpl w:val="7B2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12488"/>
    <w:multiLevelType w:val="multilevel"/>
    <w:tmpl w:val="7A7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7109B5"/>
    <w:multiLevelType w:val="multilevel"/>
    <w:tmpl w:val="4BA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9F4F91"/>
    <w:multiLevelType w:val="multilevel"/>
    <w:tmpl w:val="75D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005887"/>
    <w:multiLevelType w:val="hybridMultilevel"/>
    <w:tmpl w:val="0E5411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B984C77"/>
    <w:multiLevelType w:val="multilevel"/>
    <w:tmpl w:val="5B4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920BE"/>
    <w:multiLevelType w:val="multilevel"/>
    <w:tmpl w:val="A80E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F62285"/>
    <w:multiLevelType w:val="multilevel"/>
    <w:tmpl w:val="0A88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16556E"/>
    <w:multiLevelType w:val="multilevel"/>
    <w:tmpl w:val="568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7E512C"/>
    <w:multiLevelType w:val="multilevel"/>
    <w:tmpl w:val="98F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6F40B8"/>
    <w:multiLevelType w:val="multilevel"/>
    <w:tmpl w:val="358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9C7E50"/>
    <w:multiLevelType w:val="multilevel"/>
    <w:tmpl w:val="1BE8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1E1EC2"/>
    <w:multiLevelType w:val="multilevel"/>
    <w:tmpl w:val="3A5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C27259"/>
    <w:multiLevelType w:val="multilevel"/>
    <w:tmpl w:val="3E9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4"/>
  </w:num>
  <w:num w:numId="4">
    <w:abstractNumId w:val="4"/>
  </w:num>
  <w:num w:numId="5">
    <w:abstractNumId w:val="13"/>
  </w:num>
  <w:num w:numId="6">
    <w:abstractNumId w:val="17"/>
  </w:num>
  <w:num w:numId="7">
    <w:abstractNumId w:val="2"/>
  </w:num>
  <w:num w:numId="8">
    <w:abstractNumId w:val="8"/>
  </w:num>
  <w:num w:numId="9">
    <w:abstractNumId w:val="6"/>
  </w:num>
  <w:num w:numId="10">
    <w:abstractNumId w:val="18"/>
  </w:num>
  <w:num w:numId="11">
    <w:abstractNumId w:val="12"/>
  </w:num>
  <w:num w:numId="12">
    <w:abstractNumId w:val="1"/>
  </w:num>
  <w:num w:numId="13">
    <w:abstractNumId w:val="11"/>
  </w:num>
  <w:num w:numId="14">
    <w:abstractNumId w:val="15"/>
  </w:num>
  <w:num w:numId="15">
    <w:abstractNumId w:val="16"/>
  </w:num>
  <w:num w:numId="16">
    <w:abstractNumId w:val="0"/>
  </w:num>
  <w:num w:numId="17">
    <w:abstractNumId w:val="5"/>
  </w:num>
  <w:num w:numId="18">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9">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9"/>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1304"/>
  <w:hyphenationZone w:val="425"/>
  <w:characterSpacingControl w:val="doNotCompress"/>
  <w:compat/>
  <w:rsids>
    <w:rsidRoot w:val="0051788F"/>
    <w:rsid w:val="00147D72"/>
    <w:rsid w:val="00183D74"/>
    <w:rsid w:val="001D6280"/>
    <w:rsid w:val="0051788F"/>
    <w:rsid w:val="006C597B"/>
    <w:rsid w:val="00702825"/>
    <w:rsid w:val="00736277"/>
    <w:rsid w:val="00772ADD"/>
    <w:rsid w:val="00F379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da-DK"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825"/>
    <w:rPr>
      <w:rFonts w:cs="Mangal"/>
    </w:rPr>
  </w:style>
  <w:style w:type="paragraph" w:styleId="Overskrift1">
    <w:name w:val="heading 1"/>
    <w:basedOn w:val="Normal"/>
    <w:link w:val="Overskrift1Tegn"/>
    <w:uiPriority w:val="9"/>
    <w:qFormat/>
    <w:rsid w:val="00517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788F"/>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51788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51788F"/>
    <w:pPr>
      <w:ind w:left="720"/>
      <w:contextualSpacing/>
    </w:pPr>
  </w:style>
  <w:style w:type="paragraph" w:styleId="Markeringsbobletekst">
    <w:name w:val="Balloon Text"/>
    <w:basedOn w:val="Normal"/>
    <w:link w:val="MarkeringsbobletekstTegn"/>
    <w:uiPriority w:val="99"/>
    <w:semiHidden/>
    <w:unhideWhenUsed/>
    <w:rsid w:val="00F3795D"/>
    <w:pPr>
      <w:spacing w:after="0" w:line="240" w:lineRule="auto"/>
    </w:pPr>
    <w:rPr>
      <w:rFonts w:ascii="Tahoma" w:hAnsi="Tahoma"/>
      <w:sz w:val="16"/>
      <w:szCs w:val="14"/>
    </w:rPr>
  </w:style>
  <w:style w:type="character" w:customStyle="1" w:styleId="MarkeringsbobletekstTegn">
    <w:name w:val="Markeringsbobletekst Tegn"/>
    <w:basedOn w:val="Standardskrifttypeiafsnit"/>
    <w:link w:val="Markeringsbobletekst"/>
    <w:uiPriority w:val="99"/>
    <w:semiHidden/>
    <w:rsid w:val="00F3795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42226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2913</Words>
  <Characters>17775</Characters>
  <Application>Microsoft Office Word</Application>
  <DocSecurity>0</DocSecurity>
  <Lines>148</Lines>
  <Paragraphs>41</Paragraphs>
  <ScaleCrop>false</ScaleCrop>
  <Company/>
  <LinksUpToDate>false</LinksUpToDate>
  <CharactersWithSpaces>20647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Schwartz</dc:creator>
  <cp:lastModifiedBy>Jonas Christensen</cp:lastModifiedBy>
  <cp:revision>2</cp:revision>
  <dcterms:created xsi:type="dcterms:W3CDTF">2021-05-27T06:37:00Z</dcterms:created>
  <dcterms:modified xsi:type="dcterms:W3CDTF">2021-05-27T06:37:00Z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2021-05-20T07:41:34Z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1c403f81-67b2-4bea-9c0c-d87e57ff362b</vt:lpwstr>
  </property>
  <property fmtid="{D5CDD505-2E9C-101B-9397-08002B2CF9AE}" pid="8" name="MSIP_Label_6a2630e2-1ac5-455e-8217-0156b1936a76_ContentBits">
    <vt:lpwstr>0</vt:lpwstr>
  </property>
</Properties>
</file>