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C15EC" w14:textId="78287C8E" w:rsidR="00EA4F00" w:rsidRDefault="00183257" w:rsidP="00757060">
      <w:pPr>
        <w:autoSpaceDE w:val="0"/>
        <w:autoSpaceDN w:val="0"/>
        <w:adjustRightInd w:val="0"/>
        <w:spacing w:after="0" w:line="240" w:lineRule="auto"/>
        <w:ind w:firstLine="1304"/>
        <w:jc w:val="center"/>
        <w:rPr>
          <w:rFonts w:ascii="LMRoman17-Regular" w:hAnsi="LMRoman17-Regular" w:cs="LMRoman17-Regular"/>
          <w:sz w:val="34"/>
          <w:szCs w:val="34"/>
        </w:rPr>
      </w:pPr>
      <w:r>
        <w:rPr>
          <w:rFonts w:ascii="LMRoman17-Regular" w:hAnsi="LMRoman17-Regular" w:cs="LMRoman17-Regular"/>
          <w:sz w:val="34"/>
          <w:szCs w:val="34"/>
        </w:rPr>
        <w:t>Miniopgave 1</w:t>
      </w:r>
      <w:r w:rsidR="00973E05">
        <w:rPr>
          <w:rFonts w:ascii="LMRoman17-Regular" w:hAnsi="LMRoman17-Regular" w:cs="LMRoman17-Regular"/>
          <w:sz w:val="34"/>
          <w:szCs w:val="34"/>
        </w:rPr>
        <w:t>2</w:t>
      </w:r>
      <w:r w:rsidR="00EA4F00">
        <w:rPr>
          <w:rFonts w:ascii="LMRoman17-Regular" w:hAnsi="LMRoman17-Regular" w:cs="LMRoman17-Regular"/>
          <w:sz w:val="34"/>
          <w:szCs w:val="34"/>
        </w:rPr>
        <w:t xml:space="preserve"> – </w:t>
      </w:r>
      <w:r w:rsidR="00694429">
        <w:rPr>
          <w:rFonts w:ascii="LMRoman17-Regular" w:hAnsi="LMRoman17-Regular" w:cs="LMRoman17-Regular"/>
          <w:sz w:val="34"/>
          <w:szCs w:val="34"/>
        </w:rPr>
        <w:t>Kendskab til pengepolitik</w:t>
      </w:r>
    </w:p>
    <w:p w14:paraId="60F1DF8A" w14:textId="77777777" w:rsidR="00EA4F00" w:rsidRDefault="00EA4F00" w:rsidP="00EA4F00">
      <w:pPr>
        <w:autoSpaceDE w:val="0"/>
        <w:autoSpaceDN w:val="0"/>
        <w:adjustRightInd w:val="0"/>
        <w:spacing w:after="0" w:line="240" w:lineRule="auto"/>
        <w:jc w:val="center"/>
        <w:rPr>
          <w:rFonts w:ascii="LMRoman12-Regular" w:hAnsi="LMRoman12-Regular" w:cs="LMRoman12-Regular"/>
          <w:sz w:val="24"/>
          <w:szCs w:val="24"/>
        </w:rPr>
      </w:pPr>
    </w:p>
    <w:p w14:paraId="3A19A50C" w14:textId="77777777" w:rsidR="00EA4F00" w:rsidRDefault="00EA4F00" w:rsidP="00EA4F00">
      <w:pPr>
        <w:autoSpaceDE w:val="0"/>
        <w:autoSpaceDN w:val="0"/>
        <w:adjustRightInd w:val="0"/>
        <w:spacing w:after="0" w:line="240" w:lineRule="auto"/>
        <w:jc w:val="center"/>
        <w:rPr>
          <w:rFonts w:ascii="LMRoman12-Regular" w:hAnsi="LMRoman12-Regular" w:cs="LMRoman12-Regular"/>
          <w:sz w:val="24"/>
          <w:szCs w:val="24"/>
        </w:rPr>
      </w:pPr>
      <w:r>
        <w:rPr>
          <w:rFonts w:ascii="LMRoman12-Regular" w:hAnsi="LMRoman12-Regular" w:cs="LMRoman12-Regular"/>
          <w:sz w:val="24"/>
          <w:szCs w:val="24"/>
        </w:rPr>
        <w:t>Samfundsbeskrivelse B</w:t>
      </w:r>
    </w:p>
    <w:p w14:paraId="04DD9721" w14:textId="77777777" w:rsidR="00EA4F00" w:rsidRDefault="00EA4F00" w:rsidP="00EA4F00">
      <w:pPr>
        <w:autoSpaceDE w:val="0"/>
        <w:autoSpaceDN w:val="0"/>
        <w:adjustRightInd w:val="0"/>
        <w:spacing w:after="0" w:line="240" w:lineRule="auto"/>
        <w:rPr>
          <w:rFonts w:ascii="LMRoman12-Regular" w:hAnsi="LMRoman12-Regular" w:cs="LMRoman12-Regular"/>
          <w:sz w:val="24"/>
          <w:szCs w:val="24"/>
        </w:rPr>
      </w:pPr>
    </w:p>
    <w:p w14:paraId="43FB7154" w14:textId="77777777" w:rsidR="00EA4F00" w:rsidRDefault="00EA4F00" w:rsidP="00EA4F00">
      <w:pPr>
        <w:autoSpaceDE w:val="0"/>
        <w:autoSpaceDN w:val="0"/>
        <w:adjustRightInd w:val="0"/>
        <w:spacing w:after="0" w:line="360" w:lineRule="auto"/>
        <w:rPr>
          <w:rFonts w:ascii="LMRoman12-Bold" w:hAnsi="LMRoman12-Bold" w:cs="LMRoman12-Bold"/>
          <w:b/>
          <w:bCs/>
          <w:sz w:val="29"/>
          <w:szCs w:val="29"/>
        </w:rPr>
      </w:pPr>
      <w:r>
        <w:rPr>
          <w:rFonts w:ascii="LMRoman12-Bold" w:hAnsi="LMRoman12-Bold" w:cs="LMRoman12-Bold"/>
          <w:b/>
          <w:bCs/>
          <w:sz w:val="29"/>
          <w:szCs w:val="29"/>
        </w:rPr>
        <w:t>Introduktion</w:t>
      </w:r>
    </w:p>
    <w:p w14:paraId="20378107" w14:textId="33DAC23B" w:rsidR="00EA4F00" w:rsidRDefault="00973E05" w:rsidP="00EA4F00">
      <w:p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Formålet med miniopgaven er at blive klogere på pengepolitikken</w:t>
      </w:r>
      <w:r w:rsidR="0040195B">
        <w:rPr>
          <w:rFonts w:ascii="LMRoman12-Regular" w:hAnsi="LMRoman12-Regular" w:cs="LMRoman12-Regular"/>
        </w:rPr>
        <w:t>,</w:t>
      </w:r>
      <w:r w:rsidRPr="00973E05">
        <w:rPr>
          <w:rFonts w:ascii="LMRoman12-Regular" w:hAnsi="LMRoman12-Regular" w:cs="LMRoman12-Regular"/>
        </w:rPr>
        <w:t xml:space="preserve"> og hvordan den implementeres i Danmark. </w:t>
      </w:r>
      <w:r w:rsidR="00EF0F68">
        <w:rPr>
          <w:rFonts w:ascii="LMRoman12-Regular" w:hAnsi="LMRoman12-Regular" w:cs="LMRoman12-Regular"/>
        </w:rPr>
        <w:t>I m</w:t>
      </w:r>
      <w:r w:rsidR="00EF0F68" w:rsidRPr="00973E05">
        <w:rPr>
          <w:rFonts w:ascii="LMRoman12-Regular" w:hAnsi="LMRoman12-Regular" w:cs="LMRoman12-Regular"/>
        </w:rPr>
        <w:t xml:space="preserve">iniopgaven </w:t>
      </w:r>
      <w:r w:rsidR="00EF0F68">
        <w:rPr>
          <w:rFonts w:ascii="LMRoman12-Regular" w:hAnsi="LMRoman12-Regular" w:cs="LMRoman12-Regular"/>
        </w:rPr>
        <w:t>skal vi bl.a. se nærmere på</w:t>
      </w:r>
      <w:r w:rsidR="00EF0F68" w:rsidRPr="00973E05">
        <w:rPr>
          <w:rFonts w:ascii="LMRoman12-Regular" w:hAnsi="LMRoman12-Regular" w:cs="LMRoman12-Regular"/>
        </w:rPr>
        <w:t xml:space="preserve"> </w:t>
      </w:r>
      <w:r w:rsidR="00EF0F68">
        <w:rPr>
          <w:rFonts w:ascii="LMRoman12-Regular" w:hAnsi="LMRoman12-Regular" w:cs="LMRoman12-Regular"/>
        </w:rPr>
        <w:t xml:space="preserve">den såkaldte </w:t>
      </w:r>
      <w:r w:rsidR="00EF0F68" w:rsidRPr="00973E05">
        <w:rPr>
          <w:rFonts w:ascii="LMRoman12-Regular" w:hAnsi="LMRoman12-Regular" w:cs="LMRoman12-Regular"/>
        </w:rPr>
        <w:t xml:space="preserve">”kronekrise” primo 2015, hvor </w:t>
      </w:r>
      <w:r w:rsidR="00EF0F68">
        <w:rPr>
          <w:rFonts w:ascii="LMRoman12-Regular" w:hAnsi="LMRoman12-Regular" w:cs="LMRoman12-Regular"/>
        </w:rPr>
        <w:t xml:space="preserve">den danske </w:t>
      </w:r>
      <w:r w:rsidR="00EF0F68" w:rsidRPr="00973E05">
        <w:rPr>
          <w:rFonts w:ascii="LMRoman12-Regular" w:hAnsi="LMRoman12-Regular" w:cs="LMRoman12-Regular"/>
        </w:rPr>
        <w:t>fastkurspolitik var under pres.</w:t>
      </w:r>
    </w:p>
    <w:p w14:paraId="08CE2051" w14:textId="77777777" w:rsidR="008A0CFF" w:rsidRDefault="008A0CFF" w:rsidP="008A0CFF">
      <w:pPr>
        <w:autoSpaceDE w:val="0"/>
        <w:autoSpaceDN w:val="0"/>
        <w:adjustRightInd w:val="0"/>
        <w:spacing w:after="0" w:line="360" w:lineRule="auto"/>
        <w:rPr>
          <w:rFonts w:ascii="LMRoman12-Regular" w:hAnsi="LMRoman12-Regular" w:cs="LMRoman12-Regular"/>
          <w:b/>
        </w:rPr>
      </w:pPr>
    </w:p>
    <w:p w14:paraId="00AFECE2" w14:textId="619A0F42" w:rsidR="00185ECB" w:rsidRPr="008A0CFF" w:rsidRDefault="00185ECB" w:rsidP="008A0CFF">
      <w:pPr>
        <w:autoSpaceDE w:val="0"/>
        <w:autoSpaceDN w:val="0"/>
        <w:adjustRightInd w:val="0"/>
        <w:spacing w:after="0" w:line="360" w:lineRule="auto"/>
        <w:rPr>
          <w:rFonts w:ascii="LMRoman12-Regular" w:hAnsi="LMRoman12-Regular" w:cs="LMRoman12-Regular"/>
          <w:b/>
        </w:rPr>
      </w:pPr>
      <w:r>
        <w:rPr>
          <w:rFonts w:ascii="LMRoman12-Regular" w:hAnsi="LMRoman12-Regular" w:cs="LMRoman12-Regular"/>
          <w:b/>
        </w:rPr>
        <w:t>Generelt om pengepolitik</w:t>
      </w:r>
    </w:p>
    <w:p w14:paraId="66BA7C12" w14:textId="4582DF56" w:rsidR="00973E05" w:rsidRDefault="00973E05" w:rsidP="007342E1">
      <w:pPr>
        <w:pStyle w:val="ListParagraph"/>
        <w:numPr>
          <w:ilvl w:val="0"/>
          <w:numId w:val="1"/>
        </w:num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Diskuter hvad begrebet pengepolitik dækker over i en dansk kontekst</w:t>
      </w:r>
      <w:r w:rsidR="007342E1">
        <w:rPr>
          <w:rFonts w:ascii="LMRoman12-Regular" w:hAnsi="LMRoman12-Regular" w:cs="LMRoman12-Regular"/>
        </w:rPr>
        <w:t>,</w:t>
      </w:r>
      <w:r w:rsidRPr="00973E05">
        <w:rPr>
          <w:rFonts w:ascii="LMRoman12-Regular" w:hAnsi="LMRoman12-Regular" w:cs="LMRoman12-Regular"/>
        </w:rPr>
        <w:t xml:space="preserve"> </w:t>
      </w:r>
      <w:r w:rsidR="007342E1" w:rsidRPr="007342E1">
        <w:rPr>
          <w:rFonts w:ascii="LMRoman12-Regular" w:hAnsi="LMRoman12-Regular" w:cs="LMRoman12-Regular"/>
        </w:rPr>
        <w:t>herunder om det er muligt at</w:t>
      </w:r>
      <w:r w:rsidR="007342E1">
        <w:rPr>
          <w:rFonts w:ascii="LMRoman12-Regular" w:hAnsi="LMRoman12-Regular" w:cs="LMRoman12-Regular"/>
        </w:rPr>
        <w:t xml:space="preserve"> </w:t>
      </w:r>
      <w:r w:rsidR="007342E1" w:rsidRPr="007342E1">
        <w:rPr>
          <w:rFonts w:ascii="LMRoman12-Regular" w:hAnsi="LMRoman12-Regular" w:cs="LMRoman12-Regular"/>
        </w:rPr>
        <w:t>anvende pengepolitikken til at stabilisere konjunktur</w:t>
      </w:r>
      <w:r w:rsidR="007342E1">
        <w:rPr>
          <w:rFonts w:ascii="LMRoman12-Regular" w:hAnsi="LMRoman12-Regular" w:cs="LMRoman12-Regular"/>
        </w:rPr>
        <w:t>erne</w:t>
      </w:r>
      <w:r w:rsidR="00431680" w:rsidRPr="007342E1">
        <w:rPr>
          <w:rFonts w:ascii="LMRoman12-Regular" w:hAnsi="LMRoman12-Regular" w:cs="LMRoman12-Regular"/>
        </w:rPr>
        <w:t>.</w:t>
      </w:r>
    </w:p>
    <w:p w14:paraId="48BED2C7" w14:textId="5D348EA6" w:rsidR="008E5A88" w:rsidRDefault="008E5A88" w:rsidP="008E5A88">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 xml:space="preserve">Udtrykket pengepolitik dækker over en stabilkronekurs overfor Euroen, en lav og stabil inflation. Pengepolitikken er oftest kortsigtet, da nominelle variabler har mindre effekt over længere tid. </w:t>
      </w:r>
    </w:p>
    <w:p w14:paraId="44515D42" w14:textId="322A0619" w:rsidR="008E5A88" w:rsidRPr="007342E1" w:rsidRDefault="008E5A88" w:rsidP="008E5A88">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 xml:space="preserve">Inflationen er negativt, da man </w:t>
      </w:r>
      <w:r w:rsidR="009725E8">
        <w:rPr>
          <w:rFonts w:ascii="LMRoman12-Regular" w:hAnsi="LMRoman12-Regular" w:cs="LMRoman12-Regular"/>
        </w:rPr>
        <w:t xml:space="preserve">som individ bruger mange penge på gardere sig mod en usikker fremtid. </w:t>
      </w:r>
    </w:p>
    <w:p w14:paraId="32518F31" w14:textId="36E67FDF" w:rsidR="00185ECB" w:rsidRDefault="00185ECB" w:rsidP="00185ECB">
      <w:pPr>
        <w:pStyle w:val="ListParagraph"/>
        <w:numPr>
          <w:ilvl w:val="0"/>
          <w:numId w:val="1"/>
        </w:num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Redegør for hvilke redskaber Nationalbanken har til</w:t>
      </w:r>
      <w:r>
        <w:rPr>
          <w:rFonts w:ascii="LMRoman12-Regular" w:hAnsi="LMRoman12-Regular" w:cs="LMRoman12-Regular"/>
        </w:rPr>
        <w:t xml:space="preserve"> at</w:t>
      </w:r>
      <w:r w:rsidRPr="00973E05">
        <w:rPr>
          <w:rFonts w:ascii="LMRoman12-Regular" w:hAnsi="LMRoman12-Regular" w:cs="LMRoman12-Regular"/>
        </w:rPr>
        <w:t xml:space="preserve"> styre kronekursen i en situation</w:t>
      </w:r>
      <w:r>
        <w:rPr>
          <w:rFonts w:ascii="LMRoman12-Regular" w:hAnsi="LMRoman12-Regular" w:cs="LMRoman12-Regular"/>
        </w:rPr>
        <w:t>,</w:t>
      </w:r>
      <w:r w:rsidRPr="00973E05">
        <w:rPr>
          <w:rFonts w:ascii="LMRoman12-Regular" w:hAnsi="LMRoman12-Regular" w:cs="LMRoman12-Regular"/>
        </w:rPr>
        <w:t xml:space="preserve"> hvor kursen er under pres</w:t>
      </w:r>
      <w:r>
        <w:rPr>
          <w:rFonts w:ascii="LMRoman12-Regular" w:hAnsi="LMRoman12-Regular" w:cs="LMRoman12-Regular"/>
        </w:rPr>
        <w:t>.</w:t>
      </w:r>
    </w:p>
    <w:p w14:paraId="43C45F29" w14:textId="0531CB0E" w:rsidR="008E5A88" w:rsidRDefault="008E5A88" w:rsidP="008E5A88">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NB kan købe og sælge kroner mod en anden valuta for at fastholde kronen i spændet omkring 7,46.</w:t>
      </w:r>
      <w:r w:rsidR="009725E8">
        <w:rPr>
          <w:rFonts w:ascii="LMRoman12-Regular" w:hAnsi="LMRoman12-Regular" w:cs="LMRoman12-Regular"/>
        </w:rPr>
        <w:t xml:space="preserve"> </w:t>
      </w:r>
    </w:p>
    <w:p w14:paraId="624792C1" w14:textId="5741687A" w:rsidR="00D918DA" w:rsidRDefault="00D918DA" w:rsidP="008E5A88">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Nationalbanken kan ændre rentesatserne</w:t>
      </w:r>
    </w:p>
    <w:p w14:paraId="0351E96A" w14:textId="59477CC6" w:rsidR="00D918DA" w:rsidRDefault="00D918DA" w:rsidP="008E5A88">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 xml:space="preserve">Mere overordnet: NB lader markedet passe sig selv -&gt; Vigtigt at understrege, at markedsaktører tager i normale tider positioner, der stabiliserer kroner grundet forventning til </w:t>
      </w:r>
      <w:proofErr w:type="spellStart"/>
      <w:r>
        <w:rPr>
          <w:rFonts w:ascii="LMRoman12-Regular" w:hAnsi="LMRoman12-Regular" w:cs="LMRoman12-Regular"/>
        </w:rPr>
        <w:t>NBs</w:t>
      </w:r>
      <w:proofErr w:type="spellEnd"/>
      <w:r>
        <w:rPr>
          <w:rFonts w:ascii="LMRoman12-Regular" w:hAnsi="LMRoman12-Regular" w:cs="LMRoman12-Regular"/>
        </w:rPr>
        <w:t xml:space="preserve"> beskyttelse af den danske krone og holde den omkring centralkursen. Det handler om tillid til NB. Større udsving vil resultere i intervention fra NB. </w:t>
      </w:r>
    </w:p>
    <w:p w14:paraId="20B31EC1" w14:textId="4A791A4D" w:rsidR="00431680" w:rsidRDefault="00431680" w:rsidP="00431680">
      <w:pPr>
        <w:pStyle w:val="ListParagraph"/>
        <w:numPr>
          <w:ilvl w:val="0"/>
          <w:numId w:val="1"/>
        </w:num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Beskriv Nationalbankens fire pengepolitiske instrumenter (foliorenten, indskudsbevisrenten, udlånsrenten og diskontoen)</w:t>
      </w:r>
      <w:r>
        <w:rPr>
          <w:rFonts w:ascii="LMRoman12-Regular" w:hAnsi="LMRoman12-Regular" w:cs="LMRoman12-Regular"/>
        </w:rPr>
        <w:t>.</w:t>
      </w:r>
    </w:p>
    <w:p w14:paraId="2DC4BBB4" w14:textId="168C6032" w:rsidR="00D918DA" w:rsidRPr="00D918DA" w:rsidRDefault="009725E8" w:rsidP="00D918DA">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Foliorenten er en slags gebyr fra statens side for at opstille det sikre betalingssystem Kronos. Foliorenten er en dag-til-dag rente. Den ligger oftest på 0,1-0,5%</w:t>
      </w:r>
      <w:r w:rsidR="00D918DA">
        <w:rPr>
          <w:rFonts w:ascii="LMRoman12-Regular" w:hAnsi="LMRoman12-Regular" w:cs="LMRoman12-Regular"/>
        </w:rPr>
        <w:t xml:space="preserve"> på indskud på foliokontoerne. </w:t>
      </w:r>
    </w:p>
    <w:p w14:paraId="07458B4B" w14:textId="31D65F77" w:rsidR="009725E8" w:rsidRDefault="00837C2E" w:rsidP="009725E8">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 xml:space="preserve">Indskuds- og udskudsrente er en del af markedsoperationerne. Over en 7 dages periode udlånes og indskydes penge. Udlånsrente er oftest højere end indskudsrente. Dette er blandt andet en af grundene til de negative renter ved højere indskud i private banker. </w:t>
      </w:r>
    </w:p>
    <w:p w14:paraId="0D6166A5" w14:textId="4A7ECF8C" w:rsidR="00837C2E" w:rsidRPr="00837C2E" w:rsidRDefault="00837C2E" w:rsidP="00837C2E">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Diskontoen er en signalrente, der fortæller noget om det generelle renteniveau i Danmark. Diskontoen er sin egen rente.</w:t>
      </w:r>
    </w:p>
    <w:p w14:paraId="53859E7C" w14:textId="77777777" w:rsidR="00185ECB" w:rsidRDefault="00185ECB" w:rsidP="00185ECB">
      <w:pPr>
        <w:autoSpaceDE w:val="0"/>
        <w:autoSpaceDN w:val="0"/>
        <w:adjustRightInd w:val="0"/>
        <w:spacing w:after="0" w:line="360" w:lineRule="auto"/>
        <w:rPr>
          <w:rFonts w:ascii="LMRoman12-Regular" w:hAnsi="LMRoman12-Regular" w:cs="LMRoman12-Regular"/>
        </w:rPr>
      </w:pPr>
    </w:p>
    <w:p w14:paraId="7F67AA7A" w14:textId="778C3CD7" w:rsidR="00185ECB" w:rsidRPr="00185ECB" w:rsidRDefault="00185ECB" w:rsidP="00185ECB">
      <w:pPr>
        <w:autoSpaceDE w:val="0"/>
        <w:autoSpaceDN w:val="0"/>
        <w:adjustRightInd w:val="0"/>
        <w:spacing w:after="0" w:line="360" w:lineRule="auto"/>
        <w:rPr>
          <w:rFonts w:ascii="LMRoman12-Regular" w:hAnsi="LMRoman12-Regular" w:cs="LMRoman12-Regular"/>
          <w:b/>
        </w:rPr>
      </w:pPr>
      <w:r>
        <w:rPr>
          <w:rFonts w:ascii="LMRoman12-Regular" w:hAnsi="LMRoman12-Regular" w:cs="LMRoman12-Regular"/>
          <w:b/>
        </w:rPr>
        <w:t xml:space="preserve">Case: </w:t>
      </w:r>
      <w:r w:rsidRPr="00185ECB">
        <w:rPr>
          <w:rFonts w:ascii="LMRoman12-Regular" w:hAnsi="LMRoman12-Regular" w:cs="LMRoman12-Regular"/>
          <w:b/>
        </w:rPr>
        <w:t>Kronekrisen 2015</w:t>
      </w:r>
    </w:p>
    <w:p w14:paraId="1DCA19FD" w14:textId="7DED0B37" w:rsidR="00973E05" w:rsidRDefault="00973E05" w:rsidP="00185ECB">
      <w:pPr>
        <w:pStyle w:val="ListParagraph"/>
        <w:numPr>
          <w:ilvl w:val="0"/>
          <w:numId w:val="1"/>
        </w:num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Redegør for hvorfor der kom</w:t>
      </w:r>
      <w:r w:rsidR="008A04ED">
        <w:rPr>
          <w:rFonts w:ascii="LMRoman12-Regular" w:hAnsi="LMRoman12-Regular" w:cs="LMRoman12-Regular"/>
        </w:rPr>
        <w:t xml:space="preserve"> et</w:t>
      </w:r>
      <w:r w:rsidRPr="00973E05">
        <w:rPr>
          <w:rFonts w:ascii="LMRoman12-Regular" w:hAnsi="LMRoman12-Regular" w:cs="LMRoman12-Regular"/>
        </w:rPr>
        <w:t xml:space="preserve"> pres på kronen i starten af 2015</w:t>
      </w:r>
      <w:r w:rsidR="00185ECB">
        <w:rPr>
          <w:rFonts w:ascii="LMRoman12-Regular" w:hAnsi="LMRoman12-Regular" w:cs="LMRoman12-Regular"/>
        </w:rPr>
        <w:t>.</w:t>
      </w:r>
    </w:p>
    <w:p w14:paraId="09D449A0" w14:textId="1AD511EE" w:rsidR="00837C2E" w:rsidRPr="00185ECB" w:rsidRDefault="00CF4041" w:rsidP="00837C2E">
      <w:pPr>
        <w:pStyle w:val="ListParagraph"/>
        <w:numPr>
          <w:ilvl w:val="0"/>
          <w:numId w:val="3"/>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lastRenderedPageBreak/>
        <w:t xml:space="preserve">Schweiz eftergav i 2015 for spekulation mod deres fastkurspolitik. Sejren for de udenlandske investorer gav dem blod på tanden, og de begyndte efterfølgende at spekulere mod den danske krone, som også er fastlåst af en fast kurs. Udenlandske investorer købte danske kroner i håb om, at den danske centralbank ville lade kronen flyde, og med større opkøb fra udlandet ville kursen for den danske apprecierer, hvilket ville give udenlandske investorer en større fortjeneste. Des større procentvis </w:t>
      </w:r>
      <w:proofErr w:type="spellStart"/>
      <w:r>
        <w:rPr>
          <w:rFonts w:ascii="LMRoman12-Regular" w:hAnsi="LMRoman12-Regular" w:cs="LMRoman12-Regular"/>
        </w:rPr>
        <w:t>appreciering</w:t>
      </w:r>
      <w:proofErr w:type="spellEnd"/>
      <w:r>
        <w:rPr>
          <w:rFonts w:ascii="LMRoman12-Regular" w:hAnsi="LMRoman12-Regular" w:cs="LMRoman12-Regular"/>
        </w:rPr>
        <w:t xml:space="preserve">, des større procentvis fortjeneste for investorerne, der spekulerede mod den danske fastkurspolitik. Den danske centralbank modvirkede dette ved selv at opkøbe et stort antal danske kroner i en anden valuta. Den danske valutareserve var stor nok til at bekæmpe spekulationen og fastholde kursen overfor euroen. </w:t>
      </w:r>
    </w:p>
    <w:p w14:paraId="40E09B43" w14:textId="7534ABF7" w:rsidR="00973E05" w:rsidRPr="00973E05" w:rsidRDefault="00973E05" w:rsidP="00973E05">
      <w:pPr>
        <w:pStyle w:val="ListParagraph"/>
        <w:numPr>
          <w:ilvl w:val="0"/>
          <w:numId w:val="1"/>
        </w:num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Lav én figur (</w:t>
      </w:r>
      <w:r w:rsidR="007A6695">
        <w:rPr>
          <w:rFonts w:ascii="LMRoman12-Regular" w:hAnsi="LMRoman12-Regular" w:cs="LMRoman12-Regular"/>
        </w:rPr>
        <w:t>F</w:t>
      </w:r>
      <w:r w:rsidRPr="00973E05">
        <w:rPr>
          <w:rFonts w:ascii="LMRoman12-Regular" w:hAnsi="LMRoman12-Regular" w:cs="LMRoman12-Regular"/>
        </w:rPr>
        <w:t>igur 1), der viser udviklingen i et af de udvalgte redskaber</w:t>
      </w:r>
      <w:r w:rsidR="00A50A31">
        <w:rPr>
          <w:rFonts w:ascii="LMRoman12-Regular" w:hAnsi="LMRoman12-Regular" w:cs="LMRoman12-Regular"/>
        </w:rPr>
        <w:t xml:space="preserve">, som </w:t>
      </w:r>
      <w:r w:rsidR="00A50A31" w:rsidRPr="00973E05">
        <w:rPr>
          <w:rFonts w:ascii="LMRoman12-Regular" w:hAnsi="LMRoman12-Regular" w:cs="LMRoman12-Regular"/>
        </w:rPr>
        <w:t>Nationalbanken har til</w:t>
      </w:r>
      <w:r w:rsidR="00A50A31">
        <w:rPr>
          <w:rFonts w:ascii="LMRoman12-Regular" w:hAnsi="LMRoman12-Regular" w:cs="LMRoman12-Regular"/>
        </w:rPr>
        <w:t xml:space="preserve"> at</w:t>
      </w:r>
      <w:r w:rsidR="00A50A31" w:rsidRPr="00973E05">
        <w:rPr>
          <w:rFonts w:ascii="LMRoman12-Regular" w:hAnsi="LMRoman12-Regular" w:cs="LMRoman12-Regular"/>
        </w:rPr>
        <w:t xml:space="preserve"> styre kronekursen</w:t>
      </w:r>
      <w:r w:rsidR="00A50A31" w:rsidRPr="00B55275">
        <w:rPr>
          <w:rFonts w:ascii="LMRoman12-Regular" w:hAnsi="LMRoman12-Regular" w:cs="LMRoman12-Regular"/>
        </w:rPr>
        <w:t>,</w:t>
      </w:r>
      <w:r w:rsidRPr="00B55275">
        <w:rPr>
          <w:rFonts w:ascii="LMRoman12-Regular" w:hAnsi="LMRoman12-Regular" w:cs="LMRoman12-Regular"/>
        </w:rPr>
        <w:t xml:space="preserve"> i perioden 2014-2016</w:t>
      </w:r>
      <w:r w:rsidRPr="00973E05">
        <w:rPr>
          <w:rFonts w:ascii="LMRoman12-Regular" w:hAnsi="LMRoman12-Regular" w:cs="LMRoman12-Regular"/>
        </w:rPr>
        <w:t xml:space="preserve"> (</w:t>
      </w:r>
      <w:r w:rsidRPr="002D3328">
        <w:rPr>
          <w:rFonts w:ascii="LMRoman12-Regular" w:hAnsi="LMRoman12-Regular" w:cs="LMRoman12-Regular"/>
        </w:rPr>
        <w:t xml:space="preserve">månedsdata). (Hint: Brug tabel DNSNB1 (valutareserve og valutareserve, brutto) </w:t>
      </w:r>
      <w:r w:rsidR="007C61B4" w:rsidRPr="002D3328">
        <w:rPr>
          <w:rFonts w:ascii="LMRoman12-Regular" w:hAnsi="LMRoman12-Regular" w:cs="LMRoman12-Regular"/>
        </w:rPr>
        <w:t>og</w:t>
      </w:r>
      <w:r w:rsidRPr="002D3328">
        <w:rPr>
          <w:rFonts w:ascii="LMRoman12-Regular" w:hAnsi="LMRoman12-Regular" w:cs="LMRoman12-Regular"/>
        </w:rPr>
        <w:t xml:space="preserve"> MPK3)</w:t>
      </w:r>
    </w:p>
    <w:p w14:paraId="425B227C" w14:textId="2915C3BD" w:rsidR="00973E05" w:rsidRDefault="00A50A31" w:rsidP="00185ECB">
      <w:pPr>
        <w:pStyle w:val="ListParagraph"/>
        <w:numPr>
          <w:ilvl w:val="0"/>
          <w:numId w:val="1"/>
        </w:numPr>
        <w:autoSpaceDE w:val="0"/>
        <w:autoSpaceDN w:val="0"/>
        <w:adjustRightInd w:val="0"/>
        <w:spacing w:after="0" w:line="360" w:lineRule="auto"/>
        <w:rPr>
          <w:rFonts w:ascii="LMRoman12-Regular" w:hAnsi="LMRoman12-Regular" w:cs="LMRoman12-Regular"/>
        </w:rPr>
      </w:pPr>
      <w:r>
        <w:rPr>
          <w:rFonts w:ascii="LMRoman12-Regular" w:hAnsi="LMRoman12-Regular" w:cs="LMRoman12-Regular"/>
        </w:rPr>
        <w:t>Beskriv og forklar</w:t>
      </w:r>
      <w:r w:rsidR="00973E05" w:rsidRPr="00973E05">
        <w:rPr>
          <w:rFonts w:ascii="LMRoman12-Regular" w:hAnsi="LMRoman12-Regular" w:cs="LMRoman12-Regular"/>
        </w:rPr>
        <w:t xml:space="preserve"> udviklingen i </w:t>
      </w:r>
      <w:r w:rsidR="007A6695">
        <w:rPr>
          <w:rFonts w:ascii="LMRoman12-Regular" w:hAnsi="LMRoman12-Regular" w:cs="LMRoman12-Regular"/>
        </w:rPr>
        <w:t>F</w:t>
      </w:r>
      <w:r w:rsidR="00973E05" w:rsidRPr="00973E05">
        <w:rPr>
          <w:rFonts w:ascii="LMRoman12-Regular" w:hAnsi="LMRoman12-Regular" w:cs="LMRoman12-Regular"/>
        </w:rPr>
        <w:t>igur 1.</w:t>
      </w:r>
    </w:p>
    <w:p w14:paraId="4F6A2814" w14:textId="77777777" w:rsidR="00185ECB" w:rsidRDefault="00185ECB" w:rsidP="00185ECB">
      <w:pPr>
        <w:autoSpaceDE w:val="0"/>
        <w:autoSpaceDN w:val="0"/>
        <w:adjustRightInd w:val="0"/>
        <w:spacing w:after="0" w:line="360" w:lineRule="auto"/>
        <w:rPr>
          <w:rFonts w:ascii="LMRoman12-Regular" w:hAnsi="LMRoman12-Regular" w:cs="LMRoman12-Regular"/>
        </w:rPr>
      </w:pPr>
    </w:p>
    <w:p w14:paraId="274AE609" w14:textId="5243562C" w:rsidR="00185ECB" w:rsidRPr="00185ECB" w:rsidRDefault="00185ECB" w:rsidP="00185ECB">
      <w:pPr>
        <w:autoSpaceDE w:val="0"/>
        <w:autoSpaceDN w:val="0"/>
        <w:adjustRightInd w:val="0"/>
        <w:spacing w:after="0" w:line="360" w:lineRule="auto"/>
        <w:rPr>
          <w:rFonts w:ascii="LMRoman12-Regular" w:hAnsi="LMRoman12-Regular" w:cs="LMRoman12-Regular"/>
          <w:b/>
        </w:rPr>
      </w:pPr>
      <w:r w:rsidRPr="00185ECB">
        <w:rPr>
          <w:rFonts w:ascii="LMRoman12-Regular" w:hAnsi="LMRoman12-Regular" w:cs="LMRoman12-Regular"/>
          <w:b/>
        </w:rPr>
        <w:t>Nettostilling og toneangivende pengepolitisk rente</w:t>
      </w:r>
    </w:p>
    <w:p w14:paraId="165DB6EB" w14:textId="77777777" w:rsidR="00D25D2F" w:rsidRDefault="00D25D2F" w:rsidP="00D25D2F">
      <w:pPr>
        <w:pStyle w:val="ListParagraph"/>
        <w:numPr>
          <w:ilvl w:val="0"/>
          <w:numId w:val="1"/>
        </w:num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Diskuter hvordan Nationalbankens renteændringer påvirker de korte pengemarkedsrenter.</w:t>
      </w:r>
    </w:p>
    <w:p w14:paraId="3D46BB40" w14:textId="4CB5FDDE" w:rsidR="008A0CFF" w:rsidRPr="000B25FF" w:rsidRDefault="00973E05" w:rsidP="00973E05">
      <w:pPr>
        <w:pStyle w:val="ListParagraph"/>
        <w:numPr>
          <w:ilvl w:val="0"/>
          <w:numId w:val="1"/>
        </w:numPr>
        <w:autoSpaceDE w:val="0"/>
        <w:autoSpaceDN w:val="0"/>
        <w:adjustRightInd w:val="0"/>
        <w:spacing w:after="0" w:line="360" w:lineRule="auto"/>
        <w:rPr>
          <w:rFonts w:ascii="LMRoman12-Regular" w:hAnsi="LMRoman12-Regular" w:cs="LMRoman12-Regular"/>
        </w:rPr>
      </w:pPr>
      <w:r w:rsidRPr="00973E05">
        <w:rPr>
          <w:rFonts w:ascii="LMRoman12-Regular" w:hAnsi="LMRoman12-Regular" w:cs="LMRoman12-Regular"/>
        </w:rPr>
        <w:t>Forklar med udgangspunkt i Nationalbankens nettostilling (</w:t>
      </w:r>
      <w:r>
        <w:rPr>
          <w:rFonts w:ascii="LMRoman12-Regular" w:hAnsi="LMRoman12-Regular" w:cs="LMRoman12-Regular"/>
        </w:rPr>
        <w:t>se bilag</w:t>
      </w:r>
      <w:r w:rsidR="00B00CD4">
        <w:rPr>
          <w:rFonts w:ascii="LMRoman12-Regular" w:hAnsi="LMRoman12-Regular" w:cs="LMRoman12-Regular"/>
        </w:rPr>
        <w:t xml:space="preserve"> på næste side for figurer</w:t>
      </w:r>
      <w:r w:rsidRPr="00973E05">
        <w:rPr>
          <w:rFonts w:ascii="LMRoman12-Regular" w:hAnsi="LMRoman12-Regular" w:cs="LMRoman12-Regular"/>
        </w:rPr>
        <w:t>)</w:t>
      </w:r>
      <w:r w:rsidR="00185ECB">
        <w:rPr>
          <w:rFonts w:ascii="LMRoman12-Regular" w:hAnsi="LMRoman12-Regular" w:cs="LMRoman12-Regular"/>
        </w:rPr>
        <w:t>,</w:t>
      </w:r>
      <w:r w:rsidRPr="00973E05">
        <w:rPr>
          <w:rFonts w:ascii="LMRoman12-Regular" w:hAnsi="LMRoman12-Regular" w:cs="LMRoman12-Regular"/>
        </w:rPr>
        <w:t xml:space="preserve"> hvorfor det korte rentespænd er udtrykt ved udlånsrenten i ”Pengepolitik i Danmark</w:t>
      </w:r>
      <w:r w:rsidR="00AA3B90">
        <w:rPr>
          <w:rFonts w:ascii="LMRoman12-Regular" w:hAnsi="LMRoman12-Regular" w:cs="LMRoman12-Regular"/>
        </w:rPr>
        <w:t>, 2009</w:t>
      </w:r>
      <w:r w:rsidRPr="00973E05">
        <w:rPr>
          <w:rFonts w:ascii="LMRoman12-Regular" w:hAnsi="LMRoman12-Regular" w:cs="LMRoman12-Regular"/>
        </w:rPr>
        <w:t>”</w:t>
      </w:r>
      <w:r w:rsidR="00AA3B90">
        <w:rPr>
          <w:rFonts w:ascii="LMRoman12-Regular" w:hAnsi="LMRoman12-Regular" w:cs="LMRoman12-Regular"/>
        </w:rPr>
        <w:t xml:space="preserve"> jf. figur 3.</w:t>
      </w:r>
      <w:r w:rsidR="00B00CD4">
        <w:rPr>
          <w:rFonts w:ascii="LMRoman12-Regular" w:hAnsi="LMRoman12-Regular" w:cs="LMRoman12-Regular"/>
        </w:rPr>
        <w:t>3</w:t>
      </w:r>
      <w:r w:rsidRPr="00973E05">
        <w:rPr>
          <w:rFonts w:ascii="LMRoman12-Regular" w:hAnsi="LMRoman12-Regular" w:cs="LMRoman12-Regular"/>
        </w:rPr>
        <w:t xml:space="preserve">, mens </w:t>
      </w:r>
      <w:r w:rsidR="00A50A31">
        <w:rPr>
          <w:rFonts w:ascii="LMRoman12-Regular" w:hAnsi="LMRoman12-Regular" w:cs="LMRoman12-Regular"/>
        </w:rPr>
        <w:t>spændet</w:t>
      </w:r>
      <w:r w:rsidRPr="00973E05">
        <w:rPr>
          <w:rFonts w:ascii="LMRoman12-Regular" w:hAnsi="LMRoman12-Regular" w:cs="LMRoman12-Regular"/>
        </w:rPr>
        <w:t xml:space="preserve"> er udtrykt ved indlånsrenten i nyere publikationer fra Nationalbanken, jf. </w:t>
      </w:r>
      <w:r w:rsidR="00AA3B90">
        <w:rPr>
          <w:rFonts w:ascii="LMRoman12-Regular" w:hAnsi="LMRoman12-Regular" w:cs="LMRoman12-Regular"/>
        </w:rPr>
        <w:t>figur 7</w:t>
      </w:r>
      <w:r w:rsidRPr="00973E05">
        <w:rPr>
          <w:rFonts w:ascii="LMRoman12-Regular" w:hAnsi="LMRoman12-Regular" w:cs="LMRoman12-Regular"/>
        </w:rPr>
        <w:t>.</w:t>
      </w:r>
    </w:p>
    <w:p w14:paraId="5D8A55AC" w14:textId="77777777" w:rsidR="00C01ED3" w:rsidRDefault="00C01ED3">
      <w:pPr>
        <w:spacing w:after="160" w:line="259" w:lineRule="auto"/>
        <w:rPr>
          <w:rFonts w:ascii="LMRoman12-Regular" w:hAnsi="LMRoman12-Regular" w:cs="LMRoman12-Regular"/>
          <w:color w:val="FF0000"/>
        </w:rPr>
      </w:pPr>
      <w:r>
        <w:rPr>
          <w:rFonts w:ascii="LMRoman12-Regular" w:hAnsi="LMRoman12-Regular" w:cs="LMRoman12-Regular"/>
          <w:color w:val="FF0000"/>
        </w:rPr>
        <w:br w:type="page"/>
      </w:r>
    </w:p>
    <w:p w14:paraId="1F059602" w14:textId="77777777" w:rsidR="005C03E1" w:rsidRPr="00C01ED3" w:rsidRDefault="00C01ED3" w:rsidP="00C01ED3">
      <w:pPr>
        <w:autoSpaceDE w:val="0"/>
        <w:autoSpaceDN w:val="0"/>
        <w:adjustRightInd w:val="0"/>
        <w:spacing w:after="0" w:line="360" w:lineRule="auto"/>
        <w:rPr>
          <w:rFonts w:ascii="LMRoman12-Regular" w:hAnsi="LMRoman12-Regular" w:cs="LMRoman12-Regular"/>
          <w:color w:val="FF0000"/>
        </w:rPr>
      </w:pPr>
      <w:bookmarkStart w:id="0" w:name="_Hlk5565744"/>
      <w:r w:rsidRPr="00C01ED3">
        <w:rPr>
          <w:rFonts w:ascii="LMRoman12-Regular" w:hAnsi="LMRoman12-Regular"/>
          <w:b/>
          <w:bCs/>
        </w:rPr>
        <w:lastRenderedPageBreak/>
        <w:t>Bilag – forskellige korte rentespænd</w:t>
      </w:r>
      <w:r>
        <w:rPr>
          <w:rFonts w:ascii="LMRoman12-Regular" w:hAnsi="LMRoman12-Regular"/>
          <w:b/>
          <w:bCs/>
          <w:sz w:val="28"/>
          <w:szCs w:val="28"/>
        </w:rPr>
        <w:br/>
      </w:r>
      <w:r w:rsidRPr="00C01ED3">
        <w:rPr>
          <w:rFonts w:ascii="LMRoman12-Regular" w:hAnsi="LMRoman12-Regular" w:cs="LMRoman12-Regular"/>
          <w:color w:val="000000" w:themeColor="text1"/>
        </w:rPr>
        <w:t>Pengepolitik i Danmark (2009):</w:t>
      </w:r>
    </w:p>
    <w:p w14:paraId="34587B22" w14:textId="77777777" w:rsidR="005C03E1" w:rsidRDefault="00C01ED3" w:rsidP="00C01ED3">
      <w:pPr>
        <w:autoSpaceDE w:val="0"/>
        <w:autoSpaceDN w:val="0"/>
        <w:adjustRightInd w:val="0"/>
        <w:spacing w:after="0" w:line="360" w:lineRule="auto"/>
        <w:rPr>
          <w:rFonts w:ascii="LMRoman12-Regular" w:hAnsi="LMRoman12-Regular" w:cs="LMRoman12-Regular"/>
        </w:rPr>
      </w:pPr>
      <w:r>
        <w:rPr>
          <w:rFonts w:ascii="LMRoman12-Regular" w:hAnsi="LMRoman12-Regular" w:cs="LMRoman12-Regular"/>
          <w:noProof/>
          <w:lang w:eastAsia="da-DK"/>
        </w:rPr>
        <w:drawing>
          <wp:inline distT="0" distB="0" distL="0" distR="0" wp14:anchorId="659AA1C1" wp14:editId="783C450C">
            <wp:extent cx="4791075" cy="3798188"/>
            <wp:effectExtent l="0" t="0" r="0" b="0"/>
            <wp:docPr id="1" name="Billede 1" descr="Skærmk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8E039.tmp"/>
                    <pic:cNvPicPr/>
                  </pic:nvPicPr>
                  <pic:blipFill>
                    <a:blip r:embed="rId8"/>
                    <a:stretch>
                      <a:fillRect/>
                    </a:stretch>
                  </pic:blipFill>
                  <pic:spPr>
                    <a:xfrm>
                      <a:off x="0" y="0"/>
                      <a:ext cx="4796296" cy="3802327"/>
                    </a:xfrm>
                    <a:prstGeom prst="rect">
                      <a:avLst/>
                    </a:prstGeom>
                  </pic:spPr>
                </pic:pic>
              </a:graphicData>
            </a:graphic>
          </wp:inline>
        </w:drawing>
      </w:r>
    </w:p>
    <w:p w14:paraId="417887DD" w14:textId="77777777" w:rsidR="00C01ED3" w:rsidRPr="00562A5B" w:rsidRDefault="00C01ED3" w:rsidP="00C01ED3">
      <w:pPr>
        <w:autoSpaceDE w:val="0"/>
        <w:autoSpaceDN w:val="0"/>
        <w:adjustRightInd w:val="0"/>
        <w:spacing w:after="0" w:line="360" w:lineRule="auto"/>
        <w:rPr>
          <w:rFonts w:ascii="LMRoman12-Regular" w:hAnsi="LMRoman12-Regular" w:cs="LMRoman12-Regular"/>
          <w:b/>
        </w:rPr>
      </w:pPr>
      <w:r>
        <w:rPr>
          <w:rFonts w:ascii="LMRoman12-Regular" w:hAnsi="LMRoman12-Regular" w:cs="LMRoman12-Regular"/>
          <w:b/>
        </w:rPr>
        <w:br/>
      </w:r>
      <w:r w:rsidRPr="00562A5B">
        <w:rPr>
          <w:rFonts w:ascii="LMRoman12-Regular" w:hAnsi="LMRoman12-Regular" w:cs="LMRoman12-Regular"/>
          <w:b/>
        </w:rPr>
        <w:t>Nationalbanken – Monetære og finansielle tendenser, september 2017</w:t>
      </w:r>
    </w:p>
    <w:p w14:paraId="4801122F" w14:textId="77777777" w:rsidR="00C01ED3" w:rsidRPr="00C01ED3" w:rsidRDefault="00C01ED3" w:rsidP="00C01ED3">
      <w:pPr>
        <w:autoSpaceDE w:val="0"/>
        <w:autoSpaceDN w:val="0"/>
        <w:adjustRightInd w:val="0"/>
        <w:spacing w:after="0" w:line="360" w:lineRule="auto"/>
        <w:rPr>
          <w:rFonts w:ascii="LMRoman12-Regular" w:hAnsi="LMRoman12-Regular" w:cs="LMRoman12-Regular"/>
        </w:rPr>
      </w:pPr>
      <w:r>
        <w:rPr>
          <w:rFonts w:ascii="LMRoman12-Regular" w:hAnsi="LMRoman12-Regular" w:cs="LMRoman12-Regular"/>
          <w:noProof/>
          <w:lang w:eastAsia="da-DK"/>
        </w:rPr>
        <w:drawing>
          <wp:inline distT="0" distB="0" distL="0" distR="0" wp14:anchorId="4C1990C6" wp14:editId="0BD3E342">
            <wp:extent cx="3724275" cy="4476888"/>
            <wp:effectExtent l="0" t="0" r="0" b="0"/>
            <wp:docPr id="2" name="Billede 2" descr="Skærmk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84998.tmp"/>
                    <pic:cNvPicPr/>
                  </pic:nvPicPr>
                  <pic:blipFill>
                    <a:blip r:embed="rId9"/>
                    <a:stretch>
                      <a:fillRect/>
                    </a:stretch>
                  </pic:blipFill>
                  <pic:spPr>
                    <a:xfrm>
                      <a:off x="0" y="0"/>
                      <a:ext cx="3724467" cy="4477119"/>
                    </a:xfrm>
                    <a:prstGeom prst="rect">
                      <a:avLst/>
                    </a:prstGeom>
                  </pic:spPr>
                </pic:pic>
              </a:graphicData>
            </a:graphic>
          </wp:inline>
        </w:drawing>
      </w:r>
    </w:p>
    <w:p w14:paraId="6C237A4D" w14:textId="77777777" w:rsidR="00CD0F4F" w:rsidRPr="005C03E1" w:rsidRDefault="00C01ED3" w:rsidP="005C03E1">
      <w:pPr>
        <w:autoSpaceDE w:val="0"/>
        <w:autoSpaceDN w:val="0"/>
        <w:adjustRightInd w:val="0"/>
        <w:spacing w:after="0" w:line="360" w:lineRule="auto"/>
        <w:rPr>
          <w:rFonts w:ascii="LMRoman12-Regular" w:hAnsi="LMRoman12-Regular" w:cs="LMRoman12-Regular"/>
        </w:rPr>
      </w:pPr>
      <w:r w:rsidRPr="00C01ED3">
        <w:rPr>
          <w:rFonts w:ascii="LMRoman12-Regular" w:hAnsi="LMRoman12-Regular" w:cs="LMRoman12-Regular"/>
          <w:b/>
        </w:rPr>
        <w:lastRenderedPageBreak/>
        <w:t>Nationalbankens nettostilling</w:t>
      </w:r>
      <w:r>
        <w:rPr>
          <w:rFonts w:ascii="LMRoman12-Regular" w:hAnsi="LMRoman12-Regular" w:cs="LMRoman12-Regular"/>
        </w:rPr>
        <w:br/>
      </w:r>
      <w:bookmarkEnd w:id="0"/>
      <w:r>
        <w:rPr>
          <w:noProof/>
          <w:lang w:eastAsia="da-DK"/>
        </w:rPr>
        <w:drawing>
          <wp:inline distT="0" distB="0" distL="0" distR="0" wp14:anchorId="0723144A" wp14:editId="687100ED">
            <wp:extent cx="6120130" cy="3525520"/>
            <wp:effectExtent l="0" t="0" r="0" b="0"/>
            <wp:docPr id="3" name="Billede 1">
              <a:extLst xmlns:a="http://schemas.openxmlformats.org/drawingml/2006/main">
                <a:ext uri="{FF2B5EF4-FFF2-40B4-BE49-F238E27FC236}">
                  <a16:creationId xmlns:a16="http://schemas.microsoft.com/office/drawing/2014/main" id="{00000000-0008-0000-05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a:extLst>
                        <a:ext uri="{FF2B5EF4-FFF2-40B4-BE49-F238E27FC236}">
                          <a16:creationId xmlns:a16="http://schemas.microsoft.com/office/drawing/2014/main" id="{00000000-0008-0000-0500-000002000000}"/>
                        </a:ext>
                      </a:extLst>
                    </pic:cNvPr>
                    <pic:cNvPicPr>
                      <a:picLocks noChangeAspect="1"/>
                    </pic:cNvPicPr>
                  </pic:nvPicPr>
                  <pic:blipFill>
                    <a:blip r:embed="rId10"/>
                    <a:stretch>
                      <a:fillRect/>
                    </a:stretch>
                  </pic:blipFill>
                  <pic:spPr>
                    <a:xfrm>
                      <a:off x="0" y="0"/>
                      <a:ext cx="6120130" cy="3525520"/>
                    </a:xfrm>
                    <a:prstGeom prst="rect">
                      <a:avLst/>
                    </a:prstGeom>
                  </pic:spPr>
                </pic:pic>
              </a:graphicData>
            </a:graphic>
          </wp:inline>
        </w:drawing>
      </w:r>
    </w:p>
    <w:sectPr w:rsidR="00CD0F4F" w:rsidRPr="005C03E1" w:rsidSect="00A96175">
      <w:footerReference w:type="even" r:id="rId11"/>
      <w:footerReference w:type="default" r:id="rId12"/>
      <w:pgSz w:w="11906" w:h="16838"/>
      <w:pgMar w:top="85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03BB5" w14:textId="77777777" w:rsidR="00A54ED7" w:rsidRDefault="00A54ED7">
      <w:pPr>
        <w:spacing w:after="0" w:line="240" w:lineRule="auto"/>
      </w:pPr>
      <w:r>
        <w:separator/>
      </w:r>
    </w:p>
  </w:endnote>
  <w:endnote w:type="continuationSeparator" w:id="0">
    <w:p w14:paraId="3FF04C28" w14:textId="77777777" w:rsidR="00A54ED7" w:rsidRDefault="00A5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12-Regular">
    <w:altName w:val="Cambria"/>
    <w:panose1 w:val="000005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MRoman17-Regular">
    <w:altName w:val="Cambria"/>
    <w:panose1 w:val="020B0604020202020204"/>
    <w:charset w:val="00"/>
    <w:family w:val="auto"/>
    <w:notTrueType/>
    <w:pitch w:val="default"/>
    <w:sig w:usb0="00000003" w:usb1="00000000" w:usb2="00000000" w:usb3="00000000" w:csb0="00000001" w:csb1="00000000"/>
  </w:font>
  <w:font w:name="LMRoman12-Bold">
    <w:altName w:val="Cambria"/>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223CD" w14:textId="77777777" w:rsidR="0040195B" w:rsidRDefault="0040195B" w:rsidP="00A961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442E30" w14:textId="77777777" w:rsidR="0040195B" w:rsidRDefault="00401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07045" w14:textId="77777777" w:rsidR="0040195B" w:rsidRDefault="0040195B" w:rsidP="00A961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42E1">
      <w:rPr>
        <w:rStyle w:val="PageNumber"/>
        <w:noProof/>
      </w:rPr>
      <w:t>1</w:t>
    </w:r>
    <w:r>
      <w:rPr>
        <w:rStyle w:val="PageNumber"/>
      </w:rPr>
      <w:fldChar w:fldCharType="end"/>
    </w:r>
  </w:p>
  <w:p w14:paraId="73CFC0C2" w14:textId="77777777" w:rsidR="0040195B" w:rsidRDefault="00401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08F05" w14:textId="77777777" w:rsidR="00A54ED7" w:rsidRDefault="00A54ED7">
      <w:pPr>
        <w:spacing w:after="0" w:line="240" w:lineRule="auto"/>
      </w:pPr>
      <w:r>
        <w:separator/>
      </w:r>
    </w:p>
  </w:footnote>
  <w:footnote w:type="continuationSeparator" w:id="0">
    <w:p w14:paraId="744E6FF7" w14:textId="77777777" w:rsidR="00A54ED7" w:rsidRDefault="00A54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C7FA9"/>
    <w:multiLevelType w:val="hybridMultilevel"/>
    <w:tmpl w:val="03BEEB42"/>
    <w:lvl w:ilvl="0" w:tplc="D792A1DE">
      <w:start w:val="1"/>
      <w:numFmt w:val="decimal"/>
      <w:lvlText w:val="%1)"/>
      <w:lvlJc w:val="left"/>
      <w:pPr>
        <w:ind w:left="360" w:hanging="360"/>
      </w:pPr>
      <w:rPr>
        <w:rFonts w:hint="default"/>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70CF0A91"/>
    <w:multiLevelType w:val="hybridMultilevel"/>
    <w:tmpl w:val="A0B82266"/>
    <w:lvl w:ilvl="0" w:tplc="7E9CCC16">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7FDE4143"/>
    <w:multiLevelType w:val="hybridMultilevel"/>
    <w:tmpl w:val="CCCC247C"/>
    <w:lvl w:ilvl="0" w:tplc="E5FC70E8">
      <w:start w:val="1"/>
      <w:numFmt w:val="bullet"/>
      <w:lvlText w:val="-"/>
      <w:lvlJc w:val="left"/>
      <w:pPr>
        <w:ind w:left="720" w:hanging="360"/>
      </w:pPr>
      <w:rPr>
        <w:rFonts w:ascii="LMRoman12-Regular" w:eastAsiaTheme="minorHAnsi" w:hAnsi="LMRoman12-Regular" w:cs="LMRoman12-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00"/>
    <w:rsid w:val="00007DBA"/>
    <w:rsid w:val="0002018B"/>
    <w:rsid w:val="00021CC0"/>
    <w:rsid w:val="00066DF6"/>
    <w:rsid w:val="0009012C"/>
    <w:rsid w:val="000B25FF"/>
    <w:rsid w:val="001258F4"/>
    <w:rsid w:val="00125976"/>
    <w:rsid w:val="00125C6E"/>
    <w:rsid w:val="00143154"/>
    <w:rsid w:val="0016108C"/>
    <w:rsid w:val="00177A7D"/>
    <w:rsid w:val="00183257"/>
    <w:rsid w:val="00185ECB"/>
    <w:rsid w:val="001A08D4"/>
    <w:rsid w:val="001B0BFF"/>
    <w:rsid w:val="001B4949"/>
    <w:rsid w:val="002176CB"/>
    <w:rsid w:val="00227BFC"/>
    <w:rsid w:val="002546ED"/>
    <w:rsid w:val="002B1D49"/>
    <w:rsid w:val="002C25ED"/>
    <w:rsid w:val="002D3328"/>
    <w:rsid w:val="003248C0"/>
    <w:rsid w:val="00330F8A"/>
    <w:rsid w:val="00372906"/>
    <w:rsid w:val="003874FB"/>
    <w:rsid w:val="003A7038"/>
    <w:rsid w:val="003B5F04"/>
    <w:rsid w:val="003E0E4C"/>
    <w:rsid w:val="003E5D70"/>
    <w:rsid w:val="003E6EB0"/>
    <w:rsid w:val="003F4D1C"/>
    <w:rsid w:val="0040195B"/>
    <w:rsid w:val="00401E1B"/>
    <w:rsid w:val="00412795"/>
    <w:rsid w:val="00431680"/>
    <w:rsid w:val="004545E2"/>
    <w:rsid w:val="00474A89"/>
    <w:rsid w:val="00486AF6"/>
    <w:rsid w:val="00493210"/>
    <w:rsid w:val="004A1BF1"/>
    <w:rsid w:val="004C02D9"/>
    <w:rsid w:val="004D5D78"/>
    <w:rsid w:val="005112D6"/>
    <w:rsid w:val="00512FBC"/>
    <w:rsid w:val="00536564"/>
    <w:rsid w:val="00555B4B"/>
    <w:rsid w:val="005A323A"/>
    <w:rsid w:val="005C03E1"/>
    <w:rsid w:val="005F0011"/>
    <w:rsid w:val="00601630"/>
    <w:rsid w:val="00614CE3"/>
    <w:rsid w:val="00636A8E"/>
    <w:rsid w:val="006376AC"/>
    <w:rsid w:val="00637EE8"/>
    <w:rsid w:val="00640584"/>
    <w:rsid w:val="00665CA2"/>
    <w:rsid w:val="006804F7"/>
    <w:rsid w:val="00694429"/>
    <w:rsid w:val="00696EDC"/>
    <w:rsid w:val="006B7822"/>
    <w:rsid w:val="007113BC"/>
    <w:rsid w:val="007342E1"/>
    <w:rsid w:val="007452BA"/>
    <w:rsid w:val="00753510"/>
    <w:rsid w:val="00757060"/>
    <w:rsid w:val="0077161B"/>
    <w:rsid w:val="0079693A"/>
    <w:rsid w:val="007A6695"/>
    <w:rsid w:val="007C5028"/>
    <w:rsid w:val="007C61B4"/>
    <w:rsid w:val="007F0CE5"/>
    <w:rsid w:val="00807D82"/>
    <w:rsid w:val="00837C2E"/>
    <w:rsid w:val="0085259C"/>
    <w:rsid w:val="0085708D"/>
    <w:rsid w:val="008668D6"/>
    <w:rsid w:val="0087547D"/>
    <w:rsid w:val="008809A5"/>
    <w:rsid w:val="008A04ED"/>
    <w:rsid w:val="008A0CFF"/>
    <w:rsid w:val="008C1EC5"/>
    <w:rsid w:val="008D4B5F"/>
    <w:rsid w:val="008E5A88"/>
    <w:rsid w:val="0095001A"/>
    <w:rsid w:val="00966A2E"/>
    <w:rsid w:val="009725E8"/>
    <w:rsid w:val="00973E05"/>
    <w:rsid w:val="00975F3E"/>
    <w:rsid w:val="00981E6F"/>
    <w:rsid w:val="00983B2C"/>
    <w:rsid w:val="00987E13"/>
    <w:rsid w:val="009C5106"/>
    <w:rsid w:val="009E059E"/>
    <w:rsid w:val="009E1DB2"/>
    <w:rsid w:val="009E70DC"/>
    <w:rsid w:val="00A05361"/>
    <w:rsid w:val="00A378A8"/>
    <w:rsid w:val="00A50A31"/>
    <w:rsid w:val="00A54ED7"/>
    <w:rsid w:val="00A72121"/>
    <w:rsid w:val="00A84119"/>
    <w:rsid w:val="00A85628"/>
    <w:rsid w:val="00A96175"/>
    <w:rsid w:val="00AA3B90"/>
    <w:rsid w:val="00AB5256"/>
    <w:rsid w:val="00AB5FE5"/>
    <w:rsid w:val="00AD3BE4"/>
    <w:rsid w:val="00B00CD4"/>
    <w:rsid w:val="00B02490"/>
    <w:rsid w:val="00B0266D"/>
    <w:rsid w:val="00B207D8"/>
    <w:rsid w:val="00B25F74"/>
    <w:rsid w:val="00B274E8"/>
    <w:rsid w:val="00B32E90"/>
    <w:rsid w:val="00B34715"/>
    <w:rsid w:val="00B5228D"/>
    <w:rsid w:val="00B55275"/>
    <w:rsid w:val="00B649FF"/>
    <w:rsid w:val="00BB61C4"/>
    <w:rsid w:val="00BF4CA9"/>
    <w:rsid w:val="00C01ED3"/>
    <w:rsid w:val="00C30CDA"/>
    <w:rsid w:val="00C41299"/>
    <w:rsid w:val="00CA442B"/>
    <w:rsid w:val="00CB495B"/>
    <w:rsid w:val="00CB5366"/>
    <w:rsid w:val="00CD0F4F"/>
    <w:rsid w:val="00CF4041"/>
    <w:rsid w:val="00CF4630"/>
    <w:rsid w:val="00D25D2F"/>
    <w:rsid w:val="00D3504A"/>
    <w:rsid w:val="00D36803"/>
    <w:rsid w:val="00D53E17"/>
    <w:rsid w:val="00D918DA"/>
    <w:rsid w:val="00DC5BA4"/>
    <w:rsid w:val="00DD612F"/>
    <w:rsid w:val="00E575F2"/>
    <w:rsid w:val="00E813A2"/>
    <w:rsid w:val="00EA4F00"/>
    <w:rsid w:val="00EF0F68"/>
    <w:rsid w:val="00F22D09"/>
    <w:rsid w:val="00F468AD"/>
    <w:rsid w:val="00F870C6"/>
    <w:rsid w:val="00F91AFF"/>
    <w:rsid w:val="00F91E1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6105B"/>
  <w15:docId w15:val="{9D871177-4039-4605-82CD-C5B013E9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00"/>
    <w:pPr>
      <w:ind w:left="720"/>
      <w:contextualSpacing/>
    </w:pPr>
  </w:style>
  <w:style w:type="paragraph" w:styleId="Footer">
    <w:name w:val="footer"/>
    <w:basedOn w:val="Normal"/>
    <w:link w:val="FooterChar"/>
    <w:uiPriority w:val="99"/>
    <w:unhideWhenUsed/>
    <w:rsid w:val="00EA4F0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A4F00"/>
  </w:style>
  <w:style w:type="character" w:styleId="PageNumber">
    <w:name w:val="page number"/>
    <w:basedOn w:val="DefaultParagraphFont"/>
    <w:uiPriority w:val="99"/>
    <w:semiHidden/>
    <w:unhideWhenUsed/>
    <w:rsid w:val="00EA4F00"/>
  </w:style>
  <w:style w:type="paragraph" w:customStyle="1" w:styleId="Default">
    <w:name w:val="Default"/>
    <w:rsid w:val="00C01ED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7075-2AEB-460C-BC46-E42C4E17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577</Words>
  <Characters>3292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Danmarks Nationalbank</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Emilth</dc:creator>
  <cp:lastModifiedBy>Jeppe Vanderhaegen</cp:lastModifiedBy>
  <cp:revision>2</cp:revision>
  <cp:lastPrinted>2018-04-20T11:26:00Z</cp:lastPrinted>
  <dcterms:created xsi:type="dcterms:W3CDTF">2021-04-29T08:09:00Z</dcterms:created>
  <dcterms:modified xsi:type="dcterms:W3CDTF">2021-04-29T08:09:00Z</dcterms:modified>
</cp:coreProperties>
</file>